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6872" w14:textId="77777777" w:rsidR="005B6AAE" w:rsidRPr="00F22F33" w:rsidRDefault="005B6AAE" w:rsidP="005B6AAE">
      <w:pPr>
        <w:pStyle w:val="Corpotesto"/>
        <w:spacing w:before="120"/>
        <w:rPr>
          <w:sz w:val="24"/>
        </w:rPr>
      </w:pPr>
    </w:p>
    <w:p w14:paraId="167BC604" w14:textId="77777777" w:rsidR="005B6AAE" w:rsidRPr="00F22F33" w:rsidRDefault="005B6AAE" w:rsidP="005B6AAE">
      <w:pPr>
        <w:pStyle w:val="Corpotesto"/>
        <w:spacing w:before="120"/>
        <w:rPr>
          <w:sz w:val="24"/>
        </w:rPr>
      </w:pPr>
    </w:p>
    <w:p w14:paraId="256850CF" w14:textId="77777777" w:rsidR="005B6AAE" w:rsidRPr="00F22F33" w:rsidRDefault="005B6AAE" w:rsidP="005B6AAE">
      <w:pPr>
        <w:pStyle w:val="Corpotesto"/>
        <w:spacing w:before="120"/>
        <w:rPr>
          <w:sz w:val="24"/>
        </w:rPr>
      </w:pPr>
    </w:p>
    <w:p w14:paraId="2DF0E85F" w14:textId="6261F6C9" w:rsidR="005B6AAE" w:rsidRPr="00F22F33" w:rsidRDefault="00273F6E" w:rsidP="005B6AAE">
      <w:pPr>
        <w:pStyle w:val="Corpotesto"/>
        <w:spacing w:before="120"/>
        <w:rPr>
          <w:sz w:val="24"/>
        </w:rPr>
      </w:pPr>
      <w:r w:rsidRPr="00F22F33">
        <w:rPr>
          <w:noProof/>
          <w:sz w:val="24"/>
        </w:rPr>
        <w:drawing>
          <wp:inline distT="0" distB="0" distL="0" distR="0" wp14:anchorId="55D9FD0F" wp14:editId="377DBC78">
            <wp:extent cx="2400300" cy="2476500"/>
            <wp:effectExtent l="0" t="0" r="0" b="0"/>
            <wp:docPr id="1" name="Immagine 1" descr="H:\CARTA INTESTATA, LOGHI E MODULI\Stemmi Araldici\Adro-Stemma 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RTA INTESTATA, LOGHI E MODULI\Stemmi Araldici\Adro-Stemma tras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476500"/>
                    </a:xfrm>
                    <a:prstGeom prst="rect">
                      <a:avLst/>
                    </a:prstGeom>
                    <a:noFill/>
                    <a:ln>
                      <a:noFill/>
                    </a:ln>
                  </pic:spPr>
                </pic:pic>
              </a:graphicData>
            </a:graphic>
          </wp:inline>
        </w:drawing>
      </w:r>
    </w:p>
    <w:p w14:paraId="0E0F4FD1" w14:textId="77777777" w:rsidR="005B6AAE" w:rsidRPr="00F22F33" w:rsidRDefault="005B6AAE" w:rsidP="005B6AAE">
      <w:pPr>
        <w:pStyle w:val="Corpotesto"/>
        <w:spacing w:before="120"/>
        <w:rPr>
          <w:sz w:val="24"/>
        </w:rPr>
      </w:pPr>
    </w:p>
    <w:p w14:paraId="2E896D1C" w14:textId="77777777" w:rsidR="005B22D4" w:rsidRPr="00F22F33" w:rsidRDefault="005B22D4" w:rsidP="005B22D4">
      <w:pPr>
        <w:pStyle w:val="Corpotesto"/>
        <w:spacing w:before="120"/>
        <w:rPr>
          <w:sz w:val="24"/>
        </w:rPr>
      </w:pPr>
    </w:p>
    <w:p w14:paraId="692BA9BB" w14:textId="77777777" w:rsidR="005B22D4" w:rsidRPr="00F22F33" w:rsidRDefault="005B22D4" w:rsidP="005B22D4">
      <w:pPr>
        <w:pStyle w:val="Corpotesto"/>
        <w:spacing w:before="120"/>
        <w:rPr>
          <w:sz w:val="24"/>
        </w:rPr>
      </w:pPr>
      <w:r w:rsidRPr="00F22F33">
        <w:rPr>
          <w:sz w:val="24"/>
        </w:rPr>
        <w:t xml:space="preserve">Piano integrato di attività ed organizzazione </w:t>
      </w:r>
    </w:p>
    <w:p w14:paraId="4B1B4D9D" w14:textId="77777777" w:rsidR="005B22D4" w:rsidRPr="00F22F33" w:rsidRDefault="005B22D4" w:rsidP="005B22D4">
      <w:pPr>
        <w:pStyle w:val="Corpotesto"/>
        <w:spacing w:before="120"/>
        <w:rPr>
          <w:sz w:val="24"/>
        </w:rPr>
      </w:pPr>
      <w:r w:rsidRPr="00F22F33">
        <w:rPr>
          <w:sz w:val="24"/>
        </w:rPr>
        <w:t xml:space="preserve">Sottosezione </w:t>
      </w:r>
    </w:p>
    <w:p w14:paraId="717D6257" w14:textId="77777777" w:rsidR="005B22D4" w:rsidRPr="00F22F33" w:rsidRDefault="005B22D4" w:rsidP="005B22D4">
      <w:pPr>
        <w:pStyle w:val="Corpotesto"/>
        <w:spacing w:before="120"/>
        <w:rPr>
          <w:sz w:val="24"/>
        </w:rPr>
      </w:pPr>
      <w:r w:rsidRPr="00F22F33">
        <w:rPr>
          <w:sz w:val="24"/>
        </w:rPr>
        <w:t xml:space="preserve">Rischi corruttivi e trasparenza </w:t>
      </w:r>
    </w:p>
    <w:p w14:paraId="7232896E" w14:textId="77777777" w:rsidR="005B22D4" w:rsidRPr="00F22F33" w:rsidRDefault="005B22D4" w:rsidP="005B22D4">
      <w:pPr>
        <w:pStyle w:val="Corpotesto"/>
        <w:spacing w:before="120"/>
        <w:rPr>
          <w:sz w:val="24"/>
        </w:rPr>
      </w:pPr>
      <w:r w:rsidRPr="00F22F33">
        <w:rPr>
          <w:sz w:val="24"/>
        </w:rPr>
        <w:t>(art. 3 lett. c) del DM 30/6/2022 n. 132)</w:t>
      </w:r>
    </w:p>
    <w:p w14:paraId="17CF3B79" w14:textId="77777777" w:rsidR="005B22D4" w:rsidRPr="00F22F33" w:rsidRDefault="005B22D4" w:rsidP="005B22D4">
      <w:pPr>
        <w:pStyle w:val="Corpotesto"/>
        <w:spacing w:before="120"/>
        <w:rPr>
          <w:sz w:val="24"/>
        </w:rPr>
      </w:pPr>
    </w:p>
    <w:p w14:paraId="042943D6" w14:textId="5DD15320" w:rsidR="005B22D4" w:rsidRDefault="005B22D4" w:rsidP="005B22D4">
      <w:pPr>
        <w:pStyle w:val="Corpotesto"/>
        <w:spacing w:before="120"/>
        <w:rPr>
          <w:sz w:val="24"/>
        </w:rPr>
      </w:pPr>
      <w:r w:rsidRPr="00F22F33">
        <w:rPr>
          <w:sz w:val="24"/>
        </w:rPr>
        <w:t xml:space="preserve"> PIANO TRIENNALE DI PREVENZIONE DELLA CORRUZIONE E</w:t>
      </w:r>
      <w:r w:rsidRPr="00F22F33">
        <w:rPr>
          <w:sz w:val="24"/>
        </w:rPr>
        <w:br/>
        <w:t>TRASPARENZA 2023 – 2025</w:t>
      </w:r>
      <w:r w:rsidR="00D67852">
        <w:rPr>
          <w:sz w:val="24"/>
        </w:rPr>
        <w:t xml:space="preserve"> </w:t>
      </w:r>
    </w:p>
    <w:p w14:paraId="3297E105" w14:textId="2954E1B0" w:rsidR="00D67852" w:rsidRPr="00D67852" w:rsidRDefault="00D67852" w:rsidP="005B22D4">
      <w:pPr>
        <w:pStyle w:val="Corpotesto"/>
        <w:spacing w:before="120"/>
        <w:rPr>
          <w:color w:val="FF0000"/>
          <w:sz w:val="24"/>
        </w:rPr>
      </w:pPr>
      <w:r w:rsidRPr="00D67852">
        <w:rPr>
          <w:color w:val="FF0000"/>
          <w:sz w:val="24"/>
        </w:rPr>
        <w:t>CONFERMA ANNO 2024</w:t>
      </w:r>
    </w:p>
    <w:p w14:paraId="3E1C2908" w14:textId="77777777" w:rsidR="005B22D4" w:rsidRPr="00D67852" w:rsidRDefault="005B22D4" w:rsidP="005B22D4">
      <w:pPr>
        <w:pStyle w:val="Corpotesto"/>
        <w:spacing w:before="120"/>
        <w:rPr>
          <w:color w:val="FF0000"/>
          <w:sz w:val="24"/>
        </w:rPr>
      </w:pPr>
    </w:p>
    <w:p w14:paraId="2B511238" w14:textId="77777777" w:rsidR="005A3EEC" w:rsidRPr="00F22F33" w:rsidRDefault="005A3EEC" w:rsidP="005B22D4">
      <w:pPr>
        <w:spacing w:after="0" w:line="240" w:lineRule="auto"/>
        <w:rPr>
          <w:rFonts w:ascii="Arial" w:hAnsi="Arial" w:cs="Arial"/>
          <w:sz w:val="24"/>
          <w:szCs w:val="24"/>
        </w:rPr>
      </w:pPr>
    </w:p>
    <w:p w14:paraId="608F4BAC" w14:textId="77777777" w:rsidR="005A3EEC" w:rsidRPr="00F22F33" w:rsidRDefault="005A3EEC" w:rsidP="005B22D4">
      <w:pPr>
        <w:spacing w:after="0" w:line="240" w:lineRule="auto"/>
        <w:rPr>
          <w:rFonts w:ascii="Arial" w:hAnsi="Arial" w:cs="Arial"/>
          <w:sz w:val="24"/>
          <w:szCs w:val="24"/>
        </w:rPr>
      </w:pPr>
    </w:p>
    <w:p w14:paraId="459C8F7C" w14:textId="77777777" w:rsidR="005A3EEC" w:rsidRPr="00F22F33" w:rsidRDefault="005A3EEC" w:rsidP="005B22D4">
      <w:pPr>
        <w:spacing w:after="0" w:line="240" w:lineRule="auto"/>
        <w:rPr>
          <w:rFonts w:ascii="Arial" w:hAnsi="Arial" w:cs="Arial"/>
          <w:sz w:val="24"/>
          <w:szCs w:val="24"/>
        </w:rPr>
      </w:pPr>
    </w:p>
    <w:p w14:paraId="2DEF0594" w14:textId="77777777" w:rsidR="00822A12" w:rsidRPr="00EB19F4" w:rsidRDefault="00822A12" w:rsidP="00822A12">
      <w:pPr>
        <w:spacing w:before="120" w:after="0" w:line="240" w:lineRule="auto"/>
        <w:jc w:val="both"/>
        <w:rPr>
          <w:rFonts w:ascii="Arial" w:hAnsi="Arial" w:cs="Arial"/>
          <w:b/>
          <w:bCs/>
        </w:rPr>
      </w:pPr>
      <w:r w:rsidRPr="00EB19F4">
        <w:rPr>
          <w:rFonts w:ascii="Arial" w:hAnsi="Arial" w:cs="Arial"/>
          <w:b/>
          <w:bCs/>
          <w:u w:val="single"/>
        </w:rPr>
        <w:t>Allegati</w:t>
      </w:r>
      <w:r w:rsidRPr="00EB19F4">
        <w:rPr>
          <w:rFonts w:ascii="Arial" w:hAnsi="Arial" w:cs="Arial"/>
          <w:b/>
          <w:bCs/>
        </w:rPr>
        <w:t xml:space="preserve">: </w:t>
      </w:r>
    </w:p>
    <w:p w14:paraId="45B5DD1A" w14:textId="77777777" w:rsidR="00822A12" w:rsidRPr="00EB19F4" w:rsidRDefault="00822A12" w:rsidP="00822A12">
      <w:pPr>
        <w:spacing w:before="120" w:after="0" w:line="240" w:lineRule="auto"/>
        <w:jc w:val="both"/>
        <w:rPr>
          <w:rFonts w:ascii="Arial" w:hAnsi="Arial" w:cs="Arial"/>
          <w:b/>
          <w:bCs/>
          <w:color w:val="FF0000"/>
        </w:rPr>
      </w:pPr>
      <w:r w:rsidRPr="00EB19F4">
        <w:rPr>
          <w:rFonts w:ascii="Arial" w:hAnsi="Arial" w:cs="Arial"/>
          <w:color w:val="FF0000"/>
        </w:rPr>
        <w:t>A- Mappatura dei processi e Catalogo dei rischi;</w:t>
      </w:r>
      <w:r w:rsidRPr="00EB19F4">
        <w:rPr>
          <w:rFonts w:ascii="Arial" w:hAnsi="Arial" w:cs="Arial"/>
          <w:b/>
          <w:bCs/>
          <w:color w:val="FF0000"/>
        </w:rPr>
        <w:t xml:space="preserve"> </w:t>
      </w:r>
    </w:p>
    <w:p w14:paraId="6CEFFC38" w14:textId="77777777" w:rsidR="00822A12" w:rsidRPr="00EB19F4" w:rsidRDefault="00822A12" w:rsidP="00822A12">
      <w:pPr>
        <w:spacing w:before="120" w:after="0" w:line="240" w:lineRule="auto"/>
        <w:jc w:val="both"/>
        <w:rPr>
          <w:rFonts w:ascii="Arial" w:hAnsi="Arial" w:cs="Arial"/>
          <w:color w:val="FF0000"/>
        </w:rPr>
      </w:pPr>
      <w:r w:rsidRPr="00EB19F4">
        <w:rPr>
          <w:rFonts w:ascii="Arial" w:hAnsi="Arial" w:cs="Arial"/>
          <w:color w:val="FF0000"/>
        </w:rPr>
        <w:t xml:space="preserve">B- Analisi dei rischi; </w:t>
      </w:r>
    </w:p>
    <w:p w14:paraId="4DABDF03" w14:textId="77777777" w:rsidR="00822A12" w:rsidRDefault="00822A12" w:rsidP="00822A12">
      <w:pPr>
        <w:spacing w:before="120" w:after="0" w:line="240" w:lineRule="auto"/>
        <w:jc w:val="both"/>
        <w:rPr>
          <w:rFonts w:ascii="Arial" w:hAnsi="Arial" w:cs="Arial"/>
          <w:color w:val="FF0000"/>
        </w:rPr>
      </w:pPr>
      <w:r w:rsidRPr="00EB19F4">
        <w:rPr>
          <w:rFonts w:ascii="Arial" w:hAnsi="Arial" w:cs="Arial"/>
          <w:color w:val="FF0000"/>
        </w:rPr>
        <w:t xml:space="preserve">C- Individuazione e programmazione delle misure; </w:t>
      </w:r>
    </w:p>
    <w:p w14:paraId="55975ADE" w14:textId="77777777" w:rsidR="00822A12" w:rsidRPr="00EB19F4" w:rsidRDefault="00822A12" w:rsidP="00822A12">
      <w:pPr>
        <w:spacing w:before="120" w:after="0" w:line="240" w:lineRule="auto"/>
        <w:jc w:val="both"/>
        <w:rPr>
          <w:rFonts w:ascii="Arial" w:hAnsi="Arial" w:cs="Arial"/>
          <w:color w:val="FF0000"/>
        </w:rPr>
      </w:pPr>
      <w:r w:rsidRPr="00EB19F4">
        <w:rPr>
          <w:rFonts w:ascii="Arial" w:hAnsi="Arial" w:cs="Arial"/>
          <w:color w:val="FF0000"/>
        </w:rPr>
        <w:t xml:space="preserve">C1 – Individuazione delle principali misure per aree di rischio; </w:t>
      </w:r>
    </w:p>
    <w:p w14:paraId="2A85DC41" w14:textId="77777777" w:rsidR="00822A12" w:rsidRPr="00EB19F4" w:rsidRDefault="00822A12" w:rsidP="00822A12">
      <w:pPr>
        <w:spacing w:before="120" w:after="0" w:line="240" w:lineRule="auto"/>
        <w:jc w:val="both"/>
        <w:rPr>
          <w:rFonts w:ascii="Arial" w:hAnsi="Arial" w:cs="Arial"/>
          <w:color w:val="FF0000"/>
        </w:rPr>
      </w:pPr>
      <w:r w:rsidRPr="00EB19F4">
        <w:rPr>
          <w:rFonts w:ascii="Arial" w:hAnsi="Arial" w:cs="Arial"/>
          <w:color w:val="FF0000"/>
        </w:rPr>
        <w:t xml:space="preserve">D- Misure di trasparenza; </w:t>
      </w:r>
    </w:p>
    <w:p w14:paraId="6C5F68C7" w14:textId="77777777" w:rsidR="00822A12" w:rsidRPr="00F22F33" w:rsidRDefault="00822A12" w:rsidP="00822A12">
      <w:pPr>
        <w:spacing w:before="120" w:after="0" w:line="240" w:lineRule="auto"/>
        <w:jc w:val="both"/>
        <w:rPr>
          <w:rFonts w:ascii="Arial" w:hAnsi="Arial" w:cs="Arial"/>
          <w:color w:val="0F243E" w:themeColor="text2" w:themeShade="80"/>
          <w:sz w:val="24"/>
          <w:szCs w:val="24"/>
        </w:rPr>
      </w:pPr>
      <w:r w:rsidRPr="00F22F33">
        <w:rPr>
          <w:rFonts w:ascii="Arial" w:hAnsi="Arial" w:cs="Arial"/>
          <w:color w:val="0F243E" w:themeColor="text2" w:themeShade="80"/>
          <w:sz w:val="24"/>
          <w:szCs w:val="24"/>
        </w:rPr>
        <w:br w:type="page"/>
      </w:r>
    </w:p>
    <w:p w14:paraId="68E8B541" w14:textId="7194E8CB" w:rsidR="00181927" w:rsidRDefault="00893698" w:rsidP="00181927">
      <w:pPr>
        <w:spacing w:before="120" w:after="0" w:line="240" w:lineRule="auto"/>
        <w:jc w:val="both"/>
        <w:rPr>
          <w:noProof/>
        </w:rPr>
      </w:pPr>
      <w:r w:rsidRPr="00893698">
        <w:rPr>
          <w:noProof/>
        </w:rPr>
        <w:lastRenderedPageBreak/>
        <w:drawing>
          <wp:inline distT="0" distB="0" distL="0" distR="0" wp14:anchorId="358273B0" wp14:editId="75E969C4">
            <wp:extent cx="5039360" cy="7155180"/>
            <wp:effectExtent l="0" t="0" r="0" b="0"/>
            <wp:docPr id="118701459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360" cy="7155180"/>
                    </a:xfrm>
                    <a:prstGeom prst="rect">
                      <a:avLst/>
                    </a:prstGeom>
                    <a:noFill/>
                    <a:ln>
                      <a:noFill/>
                    </a:ln>
                  </pic:spPr>
                </pic:pic>
              </a:graphicData>
            </a:graphic>
          </wp:inline>
        </w:drawing>
      </w:r>
    </w:p>
    <w:p w14:paraId="581FFB67" w14:textId="77777777" w:rsidR="008C6418" w:rsidRDefault="008C6418" w:rsidP="00181927">
      <w:pPr>
        <w:spacing w:before="120" w:after="0" w:line="240" w:lineRule="auto"/>
        <w:jc w:val="both"/>
        <w:rPr>
          <w:noProof/>
        </w:rPr>
      </w:pPr>
    </w:p>
    <w:p w14:paraId="5B96AD60" w14:textId="77777777" w:rsidR="00893698" w:rsidRDefault="00893698" w:rsidP="00181927">
      <w:pPr>
        <w:spacing w:before="120" w:after="0" w:line="240" w:lineRule="auto"/>
        <w:jc w:val="both"/>
        <w:rPr>
          <w:noProof/>
        </w:rPr>
      </w:pPr>
    </w:p>
    <w:p w14:paraId="3A4C3006" w14:textId="77777777" w:rsidR="00893698" w:rsidRDefault="00893698" w:rsidP="00181927">
      <w:pPr>
        <w:spacing w:before="120" w:after="0" w:line="240" w:lineRule="auto"/>
        <w:jc w:val="both"/>
        <w:rPr>
          <w:noProof/>
        </w:rPr>
      </w:pPr>
    </w:p>
    <w:p w14:paraId="4B7847E6" w14:textId="77777777" w:rsidR="00893698" w:rsidRDefault="00893698" w:rsidP="00181927">
      <w:pPr>
        <w:spacing w:before="120" w:after="0" w:line="240" w:lineRule="auto"/>
        <w:jc w:val="both"/>
        <w:rPr>
          <w:noProof/>
        </w:rPr>
      </w:pPr>
    </w:p>
    <w:p w14:paraId="078F077B" w14:textId="77777777" w:rsidR="00893698" w:rsidRDefault="00893698" w:rsidP="00181927">
      <w:pPr>
        <w:spacing w:before="120" w:after="0" w:line="240" w:lineRule="auto"/>
        <w:jc w:val="both"/>
        <w:rPr>
          <w:noProof/>
        </w:rPr>
      </w:pPr>
    </w:p>
    <w:p w14:paraId="04945DF4" w14:textId="77777777" w:rsidR="008A1DC5" w:rsidRPr="00F22F33" w:rsidRDefault="008A1DC5" w:rsidP="008A1DC5">
      <w:pPr>
        <w:pStyle w:val="TitoloB"/>
        <w:keepNext/>
        <w:widowControl w:val="0"/>
        <w:numPr>
          <w:ilvl w:val="0"/>
          <w:numId w:val="24"/>
        </w:numPr>
        <w:spacing w:before="120" w:after="0" w:line="240" w:lineRule="auto"/>
        <w:ind w:right="0"/>
        <w:jc w:val="both"/>
        <w:outlineLvl w:val="1"/>
        <w:rPr>
          <w:sz w:val="24"/>
          <w:szCs w:val="24"/>
        </w:rPr>
      </w:pPr>
      <w:bookmarkStart w:id="0" w:name="_Toc87523783"/>
      <w:bookmarkStart w:id="1" w:name="_Toc97543216"/>
      <w:bookmarkStart w:id="2" w:name="_Toc131582800"/>
      <w:bookmarkStart w:id="3" w:name="_Toc131582909"/>
      <w:bookmarkStart w:id="4" w:name="_Toc131583414"/>
      <w:bookmarkStart w:id="5" w:name="_Toc131583528"/>
      <w:bookmarkStart w:id="6" w:name="_Toc25585712"/>
      <w:r w:rsidRPr="00F22F33">
        <w:rPr>
          <w:sz w:val="24"/>
          <w:szCs w:val="24"/>
        </w:rPr>
        <w:lastRenderedPageBreak/>
        <w:t>Parte generale</w:t>
      </w:r>
      <w:bookmarkEnd w:id="0"/>
      <w:bookmarkEnd w:id="1"/>
      <w:bookmarkEnd w:id="2"/>
      <w:bookmarkEnd w:id="3"/>
      <w:bookmarkEnd w:id="4"/>
      <w:bookmarkEnd w:id="5"/>
    </w:p>
    <w:p w14:paraId="4AE4FA89" w14:textId="77777777" w:rsidR="008A1DC5" w:rsidRPr="00F22F33" w:rsidRDefault="008A1DC5" w:rsidP="008A1DC5">
      <w:pPr>
        <w:pStyle w:val="TitoloB"/>
        <w:keepNext/>
        <w:widowControl w:val="0"/>
        <w:numPr>
          <w:ilvl w:val="1"/>
          <w:numId w:val="5"/>
        </w:numPr>
        <w:spacing w:before="120" w:after="0" w:line="240" w:lineRule="auto"/>
        <w:ind w:right="0"/>
        <w:jc w:val="both"/>
        <w:outlineLvl w:val="1"/>
        <w:rPr>
          <w:sz w:val="24"/>
          <w:szCs w:val="24"/>
        </w:rPr>
      </w:pPr>
      <w:bookmarkStart w:id="7" w:name="_Toc97543217"/>
      <w:bookmarkStart w:id="8" w:name="_Toc131582801"/>
      <w:bookmarkStart w:id="9" w:name="_Toc131582910"/>
      <w:bookmarkStart w:id="10" w:name="_Toc131583529"/>
      <w:r w:rsidRPr="00F22F33">
        <w:rPr>
          <w:sz w:val="24"/>
          <w:szCs w:val="24"/>
        </w:rPr>
        <w:t>I soggetti coinvolti nel sistema di prevenzione e nella gestione del rischio</w:t>
      </w:r>
      <w:bookmarkEnd w:id="7"/>
      <w:bookmarkEnd w:id="8"/>
      <w:bookmarkEnd w:id="9"/>
      <w:bookmarkEnd w:id="10"/>
      <w:r w:rsidRPr="00F22F33">
        <w:rPr>
          <w:sz w:val="24"/>
          <w:szCs w:val="24"/>
        </w:rPr>
        <w:t xml:space="preserve">  </w:t>
      </w:r>
    </w:p>
    <w:p w14:paraId="4D6C29A5" w14:textId="77777777" w:rsidR="008A1DC5" w:rsidRPr="00F22F33" w:rsidRDefault="008A1DC5" w:rsidP="008A1DC5">
      <w:pPr>
        <w:pStyle w:val="TitoloB"/>
        <w:keepNext/>
        <w:widowControl w:val="0"/>
        <w:numPr>
          <w:ilvl w:val="2"/>
          <w:numId w:val="5"/>
        </w:numPr>
        <w:spacing w:before="120" w:after="0" w:line="240" w:lineRule="auto"/>
        <w:ind w:right="0"/>
        <w:jc w:val="both"/>
        <w:outlineLvl w:val="1"/>
        <w:rPr>
          <w:sz w:val="24"/>
          <w:szCs w:val="24"/>
        </w:rPr>
      </w:pPr>
      <w:bookmarkStart w:id="11" w:name="_Toc97543218"/>
      <w:bookmarkStart w:id="12" w:name="_Toc131582802"/>
      <w:bookmarkStart w:id="13" w:name="_Toc131582911"/>
      <w:bookmarkStart w:id="14" w:name="_Toc131583530"/>
      <w:r w:rsidRPr="00F22F33">
        <w:rPr>
          <w:sz w:val="24"/>
          <w:szCs w:val="24"/>
        </w:rPr>
        <w:t>L’Autorità nazionale anticorruzione</w:t>
      </w:r>
      <w:bookmarkEnd w:id="11"/>
      <w:bookmarkEnd w:id="12"/>
      <w:bookmarkEnd w:id="13"/>
      <w:bookmarkEnd w:id="14"/>
    </w:p>
    <w:p w14:paraId="49866A8B" w14:textId="77777777" w:rsidR="008A1DC5" w:rsidRPr="00F22F33" w:rsidRDefault="008A1DC5" w:rsidP="008A1DC5">
      <w:pPr>
        <w:spacing w:before="120" w:after="0" w:line="240" w:lineRule="auto"/>
        <w:jc w:val="both"/>
        <w:rPr>
          <w:rFonts w:ascii="Arial" w:hAnsi="Arial" w:cs="Arial"/>
          <w:bCs/>
          <w:sz w:val="24"/>
          <w:szCs w:val="24"/>
        </w:rPr>
      </w:pPr>
      <w:r w:rsidRPr="00F22F33">
        <w:rPr>
          <w:rFonts w:ascii="Arial" w:hAnsi="Arial" w:cs="Arial"/>
          <w:bCs/>
          <w:sz w:val="24"/>
          <w:szCs w:val="24"/>
        </w:rPr>
        <w:t xml:space="preserve">La strategia nazionale di prevenzione della corruzione, secondo la legge 190/2012 e </w:t>
      </w:r>
      <w:proofErr w:type="spellStart"/>
      <w:r w:rsidRPr="00F22F33">
        <w:rPr>
          <w:rFonts w:ascii="Arial" w:hAnsi="Arial" w:cs="Arial"/>
          <w:bCs/>
          <w:sz w:val="24"/>
          <w:szCs w:val="24"/>
        </w:rPr>
        <w:t>smi</w:t>
      </w:r>
      <w:proofErr w:type="spellEnd"/>
      <w:r w:rsidRPr="00F22F33">
        <w:rPr>
          <w:rFonts w:ascii="Arial" w:hAnsi="Arial" w:cs="Arial"/>
          <w:bCs/>
          <w:sz w:val="24"/>
          <w:szCs w:val="24"/>
        </w:rPr>
        <w:t xml:space="preserve">, si attua mediante il Piano nazionale anticorruzione (PNA) adottato </w:t>
      </w:r>
      <w:r w:rsidRPr="00F22F33">
        <w:rPr>
          <w:rFonts w:ascii="Arial" w:hAnsi="Arial" w:cs="Arial"/>
          <w:b/>
          <w:sz w:val="24"/>
          <w:szCs w:val="24"/>
        </w:rPr>
        <w:t>dall’Autorità Nazionale Anticorruzione (ANAC).</w:t>
      </w:r>
      <w:r w:rsidRPr="00F22F33">
        <w:rPr>
          <w:rFonts w:ascii="Arial" w:hAnsi="Arial" w:cs="Arial"/>
          <w:bCs/>
          <w:sz w:val="24"/>
          <w:szCs w:val="24"/>
        </w:rPr>
        <w:t xml:space="preserve"> </w:t>
      </w:r>
    </w:p>
    <w:p w14:paraId="44B23AE6" w14:textId="77777777" w:rsidR="008A1DC5" w:rsidRPr="00F22F33" w:rsidRDefault="008A1DC5" w:rsidP="008A1DC5">
      <w:pPr>
        <w:spacing w:before="120" w:after="0" w:line="240" w:lineRule="auto"/>
        <w:jc w:val="both"/>
        <w:rPr>
          <w:rFonts w:ascii="Arial" w:hAnsi="Arial" w:cs="Arial"/>
          <w:bCs/>
          <w:sz w:val="24"/>
          <w:szCs w:val="24"/>
        </w:rPr>
      </w:pPr>
      <w:r w:rsidRPr="00F22F33">
        <w:rPr>
          <w:rFonts w:ascii="Arial" w:hAnsi="Arial" w:cs="Arial"/>
          <w:bCs/>
          <w:sz w:val="24"/>
          <w:szCs w:val="24"/>
        </w:rPr>
        <w:t xml:space="preserve">Il PNA individua i principali rischi di corruzione, i relativi rimedi e contiene l’indicazione degli obiettivi, dei tempi e delle modalità di adozione e attuazione delle misure di contrasto al fenomeno corruttivo. </w:t>
      </w:r>
    </w:p>
    <w:p w14:paraId="5A51166F" w14:textId="77777777" w:rsidR="008A1DC5" w:rsidRPr="00F22F33" w:rsidRDefault="008A1DC5" w:rsidP="008A1DC5">
      <w:pPr>
        <w:spacing w:before="120" w:after="0" w:line="240" w:lineRule="auto"/>
        <w:jc w:val="both"/>
        <w:rPr>
          <w:rFonts w:ascii="Arial" w:hAnsi="Arial" w:cs="Arial"/>
          <w:b/>
          <w:bCs/>
          <w:sz w:val="24"/>
          <w:szCs w:val="24"/>
        </w:rPr>
      </w:pPr>
    </w:p>
    <w:p w14:paraId="73D6943C" w14:textId="783F8057" w:rsidR="008A1DC5" w:rsidRPr="00F22F33" w:rsidRDefault="008A1DC5" w:rsidP="005A3EEC">
      <w:pPr>
        <w:pStyle w:val="Paragrafoelenco"/>
        <w:keepNext/>
        <w:widowControl w:val="0"/>
        <w:numPr>
          <w:ilvl w:val="2"/>
          <w:numId w:val="5"/>
        </w:numPr>
        <w:spacing w:before="120" w:after="0" w:line="240" w:lineRule="auto"/>
        <w:jc w:val="both"/>
        <w:outlineLvl w:val="1"/>
        <w:rPr>
          <w:rFonts w:ascii="Arial" w:eastAsia="Times New Roman" w:hAnsi="Arial" w:cs="Arial"/>
          <w:b/>
          <w:bCs/>
          <w:sz w:val="24"/>
          <w:szCs w:val="24"/>
          <w:lang w:eastAsia="it-IT"/>
        </w:rPr>
      </w:pPr>
      <w:bookmarkStart w:id="15" w:name="_Toc87523787"/>
      <w:bookmarkStart w:id="16" w:name="_Toc97543219"/>
      <w:bookmarkStart w:id="17" w:name="_Toc131582803"/>
      <w:bookmarkStart w:id="18" w:name="_Toc131582912"/>
      <w:bookmarkStart w:id="19" w:name="_Toc131583531"/>
      <w:r w:rsidRPr="00F22F33">
        <w:rPr>
          <w:rFonts w:ascii="Arial" w:eastAsia="Times New Roman" w:hAnsi="Arial" w:cs="Arial"/>
          <w:b/>
          <w:bCs/>
          <w:sz w:val="24"/>
          <w:szCs w:val="24"/>
          <w:lang w:eastAsia="it-IT"/>
        </w:rPr>
        <w:t>Il responsabile per la prevenzione della corruzione e per la trasparenza (RPCT)</w:t>
      </w:r>
      <w:bookmarkEnd w:id="15"/>
      <w:bookmarkEnd w:id="16"/>
      <w:bookmarkEnd w:id="17"/>
      <w:bookmarkEnd w:id="18"/>
      <w:bookmarkEnd w:id="19"/>
    </w:p>
    <w:p w14:paraId="0A01C1EE" w14:textId="22AC1E44" w:rsidR="008A1DC5" w:rsidRPr="00F22F33" w:rsidRDefault="008A1DC5" w:rsidP="008A1DC5">
      <w:pPr>
        <w:spacing w:before="120" w:after="0" w:line="240" w:lineRule="auto"/>
        <w:jc w:val="both"/>
        <w:rPr>
          <w:rFonts w:ascii="Arial" w:hAnsi="Arial" w:cs="Arial"/>
          <w:bCs/>
          <w:sz w:val="24"/>
          <w:szCs w:val="24"/>
        </w:rPr>
      </w:pPr>
      <w:r w:rsidRPr="00F22F33">
        <w:rPr>
          <w:rFonts w:ascii="Arial" w:hAnsi="Arial" w:cs="Arial"/>
          <w:bCs/>
          <w:sz w:val="24"/>
          <w:szCs w:val="24"/>
        </w:rPr>
        <w:t xml:space="preserve">La legge 190/2012 (art. 1 comma 7) prevede che l’organo di indirizzo individui il Responsabile per la prevenzione della corruzione e della trasparenza (RPCT). </w:t>
      </w:r>
    </w:p>
    <w:p w14:paraId="421544AD" w14:textId="5AAA4F2F" w:rsidR="008A1DC5" w:rsidRPr="00F22F33" w:rsidRDefault="008A1DC5" w:rsidP="008A1DC5">
      <w:pPr>
        <w:pStyle w:val="a"/>
        <w:spacing w:before="120"/>
        <w:jc w:val="both"/>
        <w:rPr>
          <w:rFonts w:eastAsia="Calibri"/>
          <w:bCs/>
          <w:color w:val="000000" w:themeColor="text1"/>
          <w:sz w:val="24"/>
          <w:lang w:eastAsia="en-US"/>
        </w:rPr>
      </w:pPr>
      <w:r w:rsidRPr="00F22F33">
        <w:rPr>
          <w:rFonts w:eastAsia="Calibri"/>
          <w:bCs/>
          <w:color w:val="000000" w:themeColor="text1"/>
          <w:sz w:val="24"/>
          <w:lang w:eastAsia="en-US"/>
        </w:rPr>
        <w:t xml:space="preserve">Il Responsabile della prevenzione della corruzione e per la trasparenza di questo ente è il Dott. Nicola Muscari Tomajoli, </w:t>
      </w:r>
      <w:proofErr w:type="gramStart"/>
      <w:r w:rsidRPr="00F22F33">
        <w:rPr>
          <w:rFonts w:eastAsia="Calibri"/>
          <w:bCs/>
          <w:color w:val="000000" w:themeColor="text1"/>
          <w:sz w:val="24"/>
          <w:lang w:eastAsia="en-US"/>
        </w:rPr>
        <w:t>Vice Segretario</w:t>
      </w:r>
      <w:proofErr w:type="gramEnd"/>
      <w:r w:rsidRPr="00F22F33">
        <w:rPr>
          <w:rFonts w:eastAsia="Calibri"/>
          <w:bCs/>
          <w:color w:val="000000" w:themeColor="text1"/>
          <w:sz w:val="24"/>
          <w:lang w:eastAsia="en-US"/>
        </w:rPr>
        <w:t xml:space="preserve"> Comunale, designato con decreto sindacale</w:t>
      </w:r>
      <w:r w:rsidR="006D4F65" w:rsidRPr="00F22F33">
        <w:rPr>
          <w:rFonts w:eastAsia="Calibri"/>
          <w:bCs/>
          <w:color w:val="000000" w:themeColor="text1"/>
          <w:sz w:val="24"/>
          <w:lang w:eastAsia="en-US"/>
        </w:rPr>
        <w:t>:</w:t>
      </w:r>
      <w:r w:rsidRPr="00F22F33">
        <w:rPr>
          <w:rFonts w:eastAsia="Calibri"/>
          <w:bCs/>
          <w:color w:val="000000" w:themeColor="text1"/>
          <w:sz w:val="24"/>
          <w:lang w:eastAsia="en-US"/>
        </w:rPr>
        <w:t xml:space="preserve"> prot. 15186/2020</w:t>
      </w:r>
      <w:r w:rsidR="006D4F65" w:rsidRPr="00F22F33">
        <w:rPr>
          <w:rFonts w:eastAsia="Calibri"/>
          <w:bCs/>
          <w:color w:val="000000" w:themeColor="text1"/>
          <w:sz w:val="24"/>
          <w:lang w:eastAsia="en-US"/>
        </w:rPr>
        <w:t>,</w:t>
      </w:r>
      <w:r w:rsidRPr="00F22F33">
        <w:rPr>
          <w:rFonts w:eastAsia="Calibri"/>
          <w:bCs/>
          <w:color w:val="000000" w:themeColor="text1"/>
          <w:sz w:val="24"/>
          <w:lang w:eastAsia="en-US"/>
        </w:rPr>
        <w:t xml:space="preserve"> prot. 15509/202</w:t>
      </w:r>
      <w:r w:rsidR="006D4F65" w:rsidRPr="00F22F33">
        <w:rPr>
          <w:rFonts w:eastAsia="Calibri"/>
          <w:bCs/>
          <w:color w:val="000000" w:themeColor="text1"/>
          <w:sz w:val="24"/>
          <w:lang w:eastAsia="en-US"/>
        </w:rPr>
        <w:t>, prot. 359/2023</w:t>
      </w:r>
      <w:r w:rsidRPr="00F22F33">
        <w:rPr>
          <w:rFonts w:eastAsia="Calibri"/>
          <w:bCs/>
          <w:color w:val="000000" w:themeColor="text1"/>
          <w:sz w:val="24"/>
          <w:lang w:eastAsia="en-US"/>
        </w:rPr>
        <w:t xml:space="preserve">, </w:t>
      </w:r>
      <w:r w:rsidR="00D67852">
        <w:rPr>
          <w:rFonts w:eastAsia="Calibri"/>
          <w:bCs/>
          <w:color w:val="000000" w:themeColor="text1"/>
          <w:sz w:val="24"/>
          <w:lang w:eastAsia="en-US"/>
        </w:rPr>
        <w:t>prot. 14249/</w:t>
      </w:r>
      <w:proofErr w:type="gramStart"/>
      <w:r w:rsidR="00D67852">
        <w:rPr>
          <w:rFonts w:eastAsia="Calibri"/>
          <w:bCs/>
          <w:color w:val="000000" w:themeColor="text1"/>
          <w:sz w:val="24"/>
          <w:lang w:eastAsia="en-US"/>
        </w:rPr>
        <w:t xml:space="preserve">2023, </w:t>
      </w:r>
      <w:r w:rsidRPr="00F22F33">
        <w:rPr>
          <w:rFonts w:eastAsia="Calibri"/>
          <w:bCs/>
          <w:color w:val="000000" w:themeColor="text1"/>
          <w:sz w:val="24"/>
          <w:lang w:eastAsia="en-US"/>
        </w:rPr>
        <w:t xml:space="preserve"> pubblicati</w:t>
      </w:r>
      <w:proofErr w:type="gramEnd"/>
      <w:r w:rsidRPr="00F22F33">
        <w:rPr>
          <w:rFonts w:eastAsia="Calibri"/>
          <w:bCs/>
          <w:color w:val="000000" w:themeColor="text1"/>
          <w:sz w:val="24"/>
          <w:lang w:eastAsia="en-US"/>
        </w:rPr>
        <w:t xml:space="preserve"> sul sito internet del Comune di Adro in Amministrazione Trasparente – Altri contenuti – prevenzione della corruzione. </w:t>
      </w:r>
    </w:p>
    <w:p w14:paraId="44F86C13" w14:textId="457746B4" w:rsidR="008A1DC5" w:rsidRPr="00F22F33" w:rsidRDefault="008A1DC5" w:rsidP="008A1DC5">
      <w:pPr>
        <w:pStyle w:val="Paragrafoelenco1"/>
        <w:ind w:left="0"/>
        <w:jc w:val="both"/>
        <w:rPr>
          <w:rFonts w:ascii="Arial" w:hAnsi="Arial" w:cs="Arial"/>
          <w:color w:val="000000" w:themeColor="text1"/>
          <w:sz w:val="24"/>
          <w:szCs w:val="24"/>
        </w:rPr>
      </w:pPr>
      <w:r w:rsidRPr="00F22F33">
        <w:rPr>
          <w:rFonts w:ascii="Arial" w:hAnsi="Arial" w:cs="Arial"/>
          <w:color w:val="000000" w:themeColor="text1"/>
          <w:sz w:val="24"/>
          <w:szCs w:val="24"/>
        </w:rPr>
        <w:t>Si avvale della doverosa collaborazione dei dipendenti, la cui violazione è sanzionabile disciplinarmente</w:t>
      </w:r>
      <w:r w:rsidR="006D4F65" w:rsidRPr="00F22F33">
        <w:rPr>
          <w:rFonts w:ascii="Arial" w:hAnsi="Arial" w:cs="Arial"/>
          <w:color w:val="000000" w:themeColor="text1"/>
          <w:sz w:val="24"/>
          <w:szCs w:val="24"/>
        </w:rPr>
        <w:t>, ai sensi dell’art. 8 del DPR 62/2013</w:t>
      </w:r>
      <w:r w:rsidRPr="00F22F33">
        <w:rPr>
          <w:rFonts w:ascii="Arial" w:hAnsi="Arial" w:cs="Arial"/>
          <w:color w:val="000000" w:themeColor="text1"/>
          <w:sz w:val="24"/>
          <w:szCs w:val="24"/>
        </w:rPr>
        <w:t xml:space="preserve">. </w:t>
      </w:r>
    </w:p>
    <w:p w14:paraId="0956FCD5" w14:textId="77777777" w:rsidR="008A1DC5" w:rsidRPr="00F22F33" w:rsidRDefault="008A1DC5" w:rsidP="008A1DC5">
      <w:pPr>
        <w:pStyle w:val="Paragrafoelenco1"/>
        <w:ind w:left="0"/>
        <w:jc w:val="both"/>
        <w:rPr>
          <w:rFonts w:ascii="Arial" w:hAnsi="Arial" w:cs="Arial"/>
          <w:color w:val="000000" w:themeColor="text1"/>
          <w:sz w:val="24"/>
          <w:szCs w:val="24"/>
        </w:rPr>
      </w:pPr>
      <w:r w:rsidRPr="00F22F33">
        <w:rPr>
          <w:rFonts w:ascii="Arial" w:hAnsi="Arial" w:cs="Arial"/>
          <w:color w:val="000000" w:themeColor="text1"/>
          <w:sz w:val="24"/>
          <w:szCs w:val="24"/>
        </w:rPr>
        <w:t xml:space="preserve">Il Responsabile per la prevenzione della corruzione e della trasparenza esercita tutte le prerogative ad esso riconosciute anche in materia di accesso, ai sensi e per gli del </w:t>
      </w:r>
      <w:proofErr w:type="spellStart"/>
      <w:r w:rsidRPr="00F22F33">
        <w:rPr>
          <w:rFonts w:ascii="Arial" w:hAnsi="Arial" w:cs="Arial"/>
          <w:color w:val="000000" w:themeColor="text1"/>
          <w:sz w:val="24"/>
          <w:szCs w:val="24"/>
        </w:rPr>
        <w:t>D.Lgs</w:t>
      </w:r>
      <w:proofErr w:type="spellEnd"/>
      <w:r w:rsidRPr="00F22F33">
        <w:rPr>
          <w:rFonts w:ascii="Arial" w:hAnsi="Arial" w:cs="Arial"/>
          <w:color w:val="000000" w:themeColor="text1"/>
          <w:sz w:val="24"/>
          <w:szCs w:val="24"/>
        </w:rPr>
        <w:t xml:space="preserve"> n. 33/2013 e </w:t>
      </w:r>
      <w:proofErr w:type="spellStart"/>
      <w:r w:rsidRPr="00F22F33">
        <w:rPr>
          <w:rFonts w:ascii="Arial" w:hAnsi="Arial" w:cs="Arial"/>
          <w:color w:val="000000" w:themeColor="text1"/>
          <w:sz w:val="24"/>
          <w:szCs w:val="24"/>
        </w:rPr>
        <w:t>s.m.i.</w:t>
      </w:r>
      <w:proofErr w:type="spellEnd"/>
      <w:r w:rsidRPr="00F22F33">
        <w:rPr>
          <w:rFonts w:ascii="Arial" w:hAnsi="Arial" w:cs="Arial"/>
          <w:color w:val="000000" w:themeColor="text1"/>
          <w:sz w:val="24"/>
          <w:szCs w:val="24"/>
        </w:rPr>
        <w:t xml:space="preserve"> </w:t>
      </w:r>
    </w:p>
    <w:p w14:paraId="692E2861" w14:textId="30250D6D" w:rsidR="008A1DC5" w:rsidRPr="00F22F33" w:rsidRDefault="008A1DC5" w:rsidP="008A1DC5">
      <w:pPr>
        <w:spacing w:before="120" w:after="0" w:line="240" w:lineRule="auto"/>
        <w:jc w:val="both"/>
        <w:rPr>
          <w:rFonts w:ascii="Arial" w:hAnsi="Arial" w:cs="Arial"/>
          <w:bCs/>
          <w:color w:val="000000" w:themeColor="text1"/>
          <w:sz w:val="24"/>
          <w:szCs w:val="24"/>
        </w:rPr>
      </w:pPr>
      <w:r w:rsidRPr="00F22F33">
        <w:rPr>
          <w:rFonts w:ascii="Arial" w:hAnsi="Arial" w:cs="Arial"/>
          <w:color w:val="000000" w:themeColor="text1"/>
          <w:sz w:val="24"/>
          <w:szCs w:val="24"/>
        </w:rPr>
        <w:t>Pertanto,</w:t>
      </w:r>
      <w:r w:rsidRPr="00F22F33">
        <w:rPr>
          <w:rFonts w:ascii="Arial" w:hAnsi="Arial" w:cs="Arial"/>
          <w:bCs/>
          <w:color w:val="000000" w:themeColor="text1"/>
          <w:sz w:val="24"/>
          <w:szCs w:val="24"/>
        </w:rPr>
        <w:t xml:space="preserve"> </w:t>
      </w:r>
      <w:r w:rsidRPr="00F22F33">
        <w:rPr>
          <w:rFonts w:ascii="Arial" w:hAnsi="Arial" w:cs="Arial"/>
          <w:color w:val="000000" w:themeColor="text1"/>
          <w:sz w:val="24"/>
          <w:szCs w:val="24"/>
        </w:rPr>
        <w:t>tutti i dipendenti, Responsabili di P.O. sono tenuti a fornire al RPCT la necessaria collaborazione</w:t>
      </w:r>
      <w:r w:rsidRPr="00F22F33">
        <w:rPr>
          <w:rFonts w:ascii="Arial" w:hAnsi="Arial" w:cs="Arial"/>
          <w:bCs/>
          <w:color w:val="000000" w:themeColor="text1"/>
          <w:sz w:val="24"/>
          <w:szCs w:val="24"/>
        </w:rPr>
        <w:t xml:space="preserve">. </w:t>
      </w:r>
    </w:p>
    <w:p w14:paraId="20EF6A11" w14:textId="77777777" w:rsidR="006D4F65" w:rsidRPr="00F22F33" w:rsidRDefault="006D4F65" w:rsidP="006D4F65">
      <w:pPr>
        <w:spacing w:before="120" w:after="0" w:line="240" w:lineRule="auto"/>
        <w:jc w:val="both"/>
        <w:rPr>
          <w:rFonts w:ascii="Arial" w:hAnsi="Arial" w:cs="Arial"/>
          <w:bCs/>
          <w:color w:val="0F243E" w:themeColor="text2" w:themeShade="80"/>
          <w:sz w:val="24"/>
          <w:szCs w:val="24"/>
        </w:rPr>
      </w:pPr>
      <w:r w:rsidRPr="00F22F33">
        <w:rPr>
          <w:rFonts w:ascii="Arial" w:hAnsi="Arial" w:cs="Arial"/>
          <w:bCs/>
          <w:color w:val="0F243E" w:themeColor="text2" w:themeShade="80"/>
          <w:sz w:val="24"/>
          <w:szCs w:val="24"/>
        </w:rPr>
        <w:t xml:space="preserve">Il responsabile per la prevenzione della corruzione e per la trasparenza svolge i compiti seguenti: </w:t>
      </w:r>
    </w:p>
    <w:p w14:paraId="1BC4C061" w14:textId="77777777" w:rsidR="006D4F65" w:rsidRPr="00F22F33" w:rsidRDefault="006D4F65" w:rsidP="006D4F65">
      <w:pPr>
        <w:spacing w:before="120" w:after="0" w:line="240" w:lineRule="auto"/>
        <w:jc w:val="both"/>
        <w:rPr>
          <w:rFonts w:ascii="Arial" w:hAnsi="Arial" w:cs="Arial"/>
          <w:bCs/>
          <w:color w:val="0F243E" w:themeColor="text2" w:themeShade="80"/>
          <w:sz w:val="24"/>
          <w:szCs w:val="24"/>
        </w:rPr>
      </w:pPr>
    </w:p>
    <w:p w14:paraId="66151789" w14:textId="77777777" w:rsidR="006D4F65" w:rsidRPr="00F22F33" w:rsidRDefault="006D4F65" w:rsidP="006D4F65">
      <w:pPr>
        <w:pStyle w:val="Paragrafoelenco1"/>
        <w:numPr>
          <w:ilvl w:val="0"/>
          <w:numId w:val="17"/>
        </w:numPr>
        <w:jc w:val="both"/>
        <w:rPr>
          <w:rFonts w:ascii="Arial" w:hAnsi="Arial" w:cs="Arial"/>
          <w:color w:val="000000" w:themeColor="text1"/>
          <w:sz w:val="24"/>
          <w:szCs w:val="24"/>
        </w:rPr>
      </w:pPr>
      <w:r w:rsidRPr="00F22F33">
        <w:rPr>
          <w:rFonts w:ascii="Arial" w:hAnsi="Arial" w:cs="Arial"/>
          <w:color w:val="000000" w:themeColor="text1"/>
          <w:sz w:val="24"/>
          <w:szCs w:val="24"/>
        </w:rPr>
        <w:t xml:space="preserve">elabora e </w:t>
      </w:r>
      <w:proofErr w:type="gramStart"/>
      <w:r w:rsidRPr="00F22F33">
        <w:rPr>
          <w:rFonts w:ascii="Arial" w:hAnsi="Arial" w:cs="Arial"/>
          <w:color w:val="000000" w:themeColor="text1"/>
          <w:sz w:val="24"/>
          <w:szCs w:val="24"/>
        </w:rPr>
        <w:t>propone  alla</w:t>
      </w:r>
      <w:proofErr w:type="gramEnd"/>
      <w:r w:rsidRPr="00F22F33">
        <w:rPr>
          <w:rFonts w:ascii="Arial" w:hAnsi="Arial" w:cs="Arial"/>
          <w:color w:val="000000" w:themeColor="text1"/>
          <w:sz w:val="24"/>
          <w:szCs w:val="24"/>
        </w:rPr>
        <w:t xml:space="preserve">  Giunta  il Piano  Anticorruzione; </w:t>
      </w:r>
    </w:p>
    <w:p w14:paraId="5234DBDA" w14:textId="77777777" w:rsidR="006D4F65" w:rsidRPr="00F22F33" w:rsidRDefault="006D4F65" w:rsidP="006D4F65">
      <w:pPr>
        <w:pStyle w:val="Paragrafoelenco1"/>
        <w:numPr>
          <w:ilvl w:val="0"/>
          <w:numId w:val="17"/>
        </w:numPr>
        <w:jc w:val="both"/>
        <w:rPr>
          <w:rFonts w:ascii="Arial" w:hAnsi="Arial" w:cs="Arial"/>
          <w:color w:val="000000" w:themeColor="text1"/>
          <w:sz w:val="24"/>
          <w:szCs w:val="24"/>
        </w:rPr>
      </w:pPr>
      <w:proofErr w:type="gramStart"/>
      <w:r w:rsidRPr="00F22F33">
        <w:rPr>
          <w:rFonts w:ascii="Arial" w:hAnsi="Arial" w:cs="Arial"/>
          <w:color w:val="000000" w:themeColor="text1"/>
          <w:sz w:val="24"/>
          <w:szCs w:val="24"/>
        </w:rPr>
        <w:t>svolge  i</w:t>
      </w:r>
      <w:proofErr w:type="gramEnd"/>
      <w:r w:rsidRPr="00F22F33">
        <w:rPr>
          <w:rFonts w:ascii="Arial" w:hAnsi="Arial" w:cs="Arial"/>
          <w:color w:val="000000" w:themeColor="text1"/>
          <w:sz w:val="24"/>
          <w:szCs w:val="24"/>
        </w:rPr>
        <w:t xml:space="preserve"> compiti  indicati di vigilanza sul rispetto delle norme in materia  di </w:t>
      </w:r>
      <w:proofErr w:type="spellStart"/>
      <w:r w:rsidRPr="00F22F33">
        <w:rPr>
          <w:rFonts w:ascii="Arial" w:hAnsi="Arial" w:cs="Arial"/>
          <w:color w:val="000000" w:themeColor="text1"/>
          <w:sz w:val="24"/>
          <w:szCs w:val="24"/>
        </w:rPr>
        <w:t>inconferibilità</w:t>
      </w:r>
      <w:proofErr w:type="spellEnd"/>
      <w:r w:rsidRPr="00F22F33">
        <w:rPr>
          <w:rFonts w:ascii="Arial" w:hAnsi="Arial" w:cs="Arial"/>
          <w:color w:val="000000" w:themeColor="text1"/>
          <w:sz w:val="24"/>
          <w:szCs w:val="24"/>
        </w:rPr>
        <w:t xml:space="preserve"> e incompatibilità;</w:t>
      </w:r>
    </w:p>
    <w:p w14:paraId="50E3286A" w14:textId="77777777" w:rsidR="006D4F65" w:rsidRPr="00F22F33" w:rsidRDefault="006D4F65" w:rsidP="006D4F65">
      <w:pPr>
        <w:pStyle w:val="Paragrafoelenco1"/>
        <w:numPr>
          <w:ilvl w:val="0"/>
          <w:numId w:val="17"/>
        </w:numPr>
        <w:jc w:val="both"/>
        <w:rPr>
          <w:rFonts w:ascii="Arial" w:hAnsi="Arial" w:cs="Arial"/>
          <w:color w:val="000000" w:themeColor="text1"/>
          <w:sz w:val="24"/>
          <w:szCs w:val="24"/>
        </w:rPr>
      </w:pPr>
      <w:r w:rsidRPr="00F22F33">
        <w:rPr>
          <w:rFonts w:ascii="Arial" w:hAnsi="Arial" w:cs="Arial"/>
          <w:color w:val="000000" w:themeColor="text1"/>
          <w:sz w:val="24"/>
          <w:szCs w:val="24"/>
        </w:rPr>
        <w:t xml:space="preserve">elabora la relazione </w:t>
      </w:r>
      <w:proofErr w:type="gramStart"/>
      <w:r w:rsidRPr="00F22F33">
        <w:rPr>
          <w:rFonts w:ascii="Arial" w:hAnsi="Arial" w:cs="Arial"/>
          <w:color w:val="000000" w:themeColor="text1"/>
          <w:sz w:val="24"/>
          <w:szCs w:val="24"/>
        </w:rPr>
        <w:t>annuale  sull’attività</w:t>
      </w:r>
      <w:proofErr w:type="gramEnd"/>
      <w:r w:rsidRPr="00F22F33">
        <w:rPr>
          <w:rFonts w:ascii="Arial" w:hAnsi="Arial" w:cs="Arial"/>
          <w:color w:val="000000" w:themeColor="text1"/>
          <w:sz w:val="24"/>
          <w:szCs w:val="24"/>
        </w:rPr>
        <w:t xml:space="preserve">  svolta e ne assicura la pubblicazione;</w:t>
      </w:r>
    </w:p>
    <w:p w14:paraId="35924BC4" w14:textId="77777777" w:rsidR="006D4F65" w:rsidRPr="00F22F33" w:rsidRDefault="006D4F65" w:rsidP="006D4F65">
      <w:pPr>
        <w:pStyle w:val="Paragrafoelenco1"/>
        <w:numPr>
          <w:ilvl w:val="0"/>
          <w:numId w:val="17"/>
        </w:numPr>
        <w:jc w:val="both"/>
        <w:rPr>
          <w:rFonts w:ascii="Arial" w:hAnsi="Arial" w:cs="Arial"/>
          <w:color w:val="000000" w:themeColor="text1"/>
          <w:sz w:val="24"/>
          <w:szCs w:val="24"/>
        </w:rPr>
      </w:pPr>
      <w:proofErr w:type="gramStart"/>
      <w:r w:rsidRPr="00F22F33">
        <w:rPr>
          <w:rFonts w:ascii="Arial" w:hAnsi="Arial" w:cs="Arial"/>
          <w:color w:val="000000" w:themeColor="text1"/>
          <w:sz w:val="24"/>
          <w:szCs w:val="24"/>
        </w:rPr>
        <w:t>coincide  con</w:t>
      </w:r>
      <w:proofErr w:type="gramEnd"/>
      <w:r w:rsidRPr="00F22F33">
        <w:rPr>
          <w:rFonts w:ascii="Arial" w:hAnsi="Arial" w:cs="Arial"/>
          <w:color w:val="000000" w:themeColor="text1"/>
          <w:sz w:val="24"/>
          <w:szCs w:val="24"/>
        </w:rPr>
        <w:t xml:space="preserve"> il Responsabile della trasparenza e ne svolge conseguentemente le funzioni;</w:t>
      </w:r>
    </w:p>
    <w:p w14:paraId="48716F33" w14:textId="77777777" w:rsidR="006D4F65" w:rsidRPr="00F22F33" w:rsidRDefault="006D4F65" w:rsidP="006D4F65">
      <w:pPr>
        <w:pStyle w:val="Paragrafoelenco1"/>
        <w:numPr>
          <w:ilvl w:val="0"/>
          <w:numId w:val="17"/>
        </w:numPr>
        <w:jc w:val="both"/>
        <w:rPr>
          <w:rFonts w:ascii="Arial" w:hAnsi="Arial" w:cs="Arial"/>
          <w:color w:val="000000" w:themeColor="text1"/>
          <w:sz w:val="24"/>
          <w:szCs w:val="24"/>
        </w:rPr>
      </w:pPr>
      <w:r w:rsidRPr="00F22F33">
        <w:rPr>
          <w:rFonts w:ascii="Arial" w:hAnsi="Arial" w:cs="Arial"/>
          <w:color w:val="000000" w:themeColor="text1"/>
          <w:sz w:val="24"/>
          <w:szCs w:val="24"/>
        </w:rPr>
        <w:t xml:space="preserve">svolge i </w:t>
      </w:r>
      <w:proofErr w:type="gramStart"/>
      <w:r w:rsidRPr="00F22F33">
        <w:rPr>
          <w:rFonts w:ascii="Arial" w:hAnsi="Arial" w:cs="Arial"/>
          <w:color w:val="000000" w:themeColor="text1"/>
          <w:sz w:val="24"/>
          <w:szCs w:val="24"/>
        </w:rPr>
        <w:t>procedimenti  disciplinari</w:t>
      </w:r>
      <w:proofErr w:type="gramEnd"/>
      <w:r w:rsidRPr="00F22F33">
        <w:rPr>
          <w:rFonts w:ascii="Arial" w:hAnsi="Arial" w:cs="Arial"/>
          <w:color w:val="000000" w:themeColor="text1"/>
          <w:sz w:val="24"/>
          <w:szCs w:val="24"/>
        </w:rPr>
        <w:t xml:space="preserve"> nell’ambito  della propria competenza;</w:t>
      </w:r>
    </w:p>
    <w:p w14:paraId="42C3DEEE" w14:textId="77777777" w:rsidR="006D4F65" w:rsidRPr="00F22F33" w:rsidRDefault="006D4F65" w:rsidP="006D4F65">
      <w:pPr>
        <w:pStyle w:val="Paragrafoelenco1"/>
        <w:numPr>
          <w:ilvl w:val="0"/>
          <w:numId w:val="17"/>
        </w:numPr>
        <w:jc w:val="both"/>
        <w:rPr>
          <w:rFonts w:ascii="Arial" w:hAnsi="Arial" w:cs="Arial"/>
          <w:color w:val="000000" w:themeColor="text1"/>
          <w:sz w:val="24"/>
          <w:szCs w:val="24"/>
        </w:rPr>
      </w:pPr>
      <w:r w:rsidRPr="00F22F33">
        <w:rPr>
          <w:rFonts w:ascii="Arial" w:hAnsi="Arial" w:cs="Arial"/>
          <w:color w:val="000000" w:themeColor="text1"/>
          <w:sz w:val="24"/>
          <w:szCs w:val="24"/>
        </w:rPr>
        <w:lastRenderedPageBreak/>
        <w:t xml:space="preserve">provvede alle comunicazioni obbligatorie nei </w:t>
      </w:r>
      <w:proofErr w:type="gramStart"/>
      <w:r w:rsidRPr="00F22F33">
        <w:rPr>
          <w:rFonts w:ascii="Arial" w:hAnsi="Arial" w:cs="Arial"/>
          <w:color w:val="000000" w:themeColor="text1"/>
          <w:sz w:val="24"/>
          <w:szCs w:val="24"/>
        </w:rPr>
        <w:t>confronti  dell’autorità</w:t>
      </w:r>
      <w:proofErr w:type="gramEnd"/>
      <w:r w:rsidRPr="00F22F33">
        <w:rPr>
          <w:rFonts w:ascii="Arial" w:hAnsi="Arial" w:cs="Arial"/>
          <w:color w:val="000000" w:themeColor="text1"/>
          <w:sz w:val="24"/>
          <w:szCs w:val="24"/>
        </w:rPr>
        <w:t xml:space="preserve"> giudiziaria; </w:t>
      </w:r>
    </w:p>
    <w:p w14:paraId="6F4C1D69" w14:textId="77777777" w:rsidR="006D4F65" w:rsidRPr="00F22F33" w:rsidRDefault="006D4F65" w:rsidP="006D4F65">
      <w:pPr>
        <w:pStyle w:val="Paragrafoelenco1"/>
        <w:numPr>
          <w:ilvl w:val="0"/>
          <w:numId w:val="17"/>
        </w:numPr>
        <w:jc w:val="both"/>
        <w:rPr>
          <w:rFonts w:ascii="Arial" w:hAnsi="Arial" w:cs="Arial"/>
          <w:color w:val="000000" w:themeColor="text1"/>
          <w:sz w:val="24"/>
          <w:szCs w:val="24"/>
        </w:rPr>
      </w:pPr>
      <w:r w:rsidRPr="00F22F33">
        <w:rPr>
          <w:rFonts w:ascii="Arial" w:hAnsi="Arial" w:cs="Arial"/>
          <w:color w:val="000000" w:themeColor="text1"/>
          <w:sz w:val="24"/>
          <w:szCs w:val="24"/>
        </w:rPr>
        <w:t xml:space="preserve">propone </w:t>
      </w:r>
      <w:proofErr w:type="gramStart"/>
      <w:r w:rsidRPr="00F22F33">
        <w:rPr>
          <w:rFonts w:ascii="Arial" w:hAnsi="Arial" w:cs="Arial"/>
          <w:color w:val="000000" w:themeColor="text1"/>
          <w:sz w:val="24"/>
          <w:szCs w:val="24"/>
        </w:rPr>
        <w:t>l’aggiornamento  del</w:t>
      </w:r>
      <w:proofErr w:type="gramEnd"/>
      <w:r w:rsidRPr="00F22F33">
        <w:rPr>
          <w:rFonts w:ascii="Arial" w:hAnsi="Arial" w:cs="Arial"/>
          <w:color w:val="000000" w:themeColor="text1"/>
          <w:sz w:val="24"/>
          <w:szCs w:val="24"/>
        </w:rPr>
        <w:t xml:space="preserve"> Codice di comportamento.</w:t>
      </w:r>
    </w:p>
    <w:p w14:paraId="561133E3" w14:textId="77777777" w:rsidR="006D4F65" w:rsidRPr="00F22F33" w:rsidRDefault="006D4F65" w:rsidP="006D4F65">
      <w:pPr>
        <w:pStyle w:val="Paragrafoelenco1"/>
        <w:jc w:val="both"/>
        <w:rPr>
          <w:rFonts w:ascii="Arial" w:hAnsi="Arial" w:cs="Arial"/>
          <w:color w:val="000000" w:themeColor="text1"/>
          <w:sz w:val="24"/>
          <w:szCs w:val="24"/>
        </w:rPr>
      </w:pPr>
    </w:p>
    <w:p w14:paraId="1880D170" w14:textId="77777777" w:rsidR="006D4F65" w:rsidRPr="00F22F33" w:rsidRDefault="006D4F65" w:rsidP="008A1DC5">
      <w:pPr>
        <w:spacing w:before="120" w:after="0" w:line="240" w:lineRule="auto"/>
        <w:jc w:val="both"/>
        <w:rPr>
          <w:rFonts w:ascii="Arial" w:hAnsi="Arial" w:cs="Arial"/>
          <w:bCs/>
          <w:color w:val="000000" w:themeColor="text1"/>
          <w:sz w:val="24"/>
          <w:szCs w:val="24"/>
        </w:rPr>
      </w:pPr>
    </w:p>
    <w:p w14:paraId="53AFFC69" w14:textId="77777777" w:rsidR="00B40B64" w:rsidRPr="00F22F33" w:rsidRDefault="00B40B64" w:rsidP="00B40B64">
      <w:pPr>
        <w:pStyle w:val="TitoloB"/>
        <w:keepNext/>
        <w:widowControl w:val="0"/>
        <w:numPr>
          <w:ilvl w:val="2"/>
          <w:numId w:val="5"/>
        </w:numPr>
        <w:spacing w:before="120" w:after="0" w:line="240" w:lineRule="auto"/>
        <w:ind w:right="0"/>
        <w:jc w:val="both"/>
        <w:outlineLvl w:val="1"/>
        <w:rPr>
          <w:sz w:val="24"/>
          <w:szCs w:val="24"/>
        </w:rPr>
      </w:pPr>
      <w:bookmarkStart w:id="20" w:name="_Toc97543220"/>
      <w:bookmarkStart w:id="21" w:name="_Toc131582804"/>
      <w:bookmarkStart w:id="22" w:name="_Toc131582913"/>
      <w:bookmarkStart w:id="23" w:name="_Toc131583532"/>
      <w:r w:rsidRPr="00F22F33">
        <w:rPr>
          <w:sz w:val="24"/>
          <w:szCs w:val="24"/>
        </w:rPr>
        <w:t>L’organo di indirizzo politico</w:t>
      </w:r>
      <w:bookmarkEnd w:id="20"/>
      <w:bookmarkEnd w:id="21"/>
      <w:bookmarkEnd w:id="22"/>
      <w:bookmarkEnd w:id="23"/>
    </w:p>
    <w:p w14:paraId="2173297B" w14:textId="77777777" w:rsidR="00B40B64" w:rsidRPr="00F22F33" w:rsidRDefault="00B40B64" w:rsidP="00B40B64">
      <w:pPr>
        <w:pStyle w:val="Corpotesto"/>
        <w:spacing w:before="120"/>
        <w:jc w:val="both"/>
        <w:rPr>
          <w:rFonts w:eastAsia="Calibri"/>
          <w:bCs/>
          <w:sz w:val="24"/>
          <w:lang w:eastAsia="en-US"/>
        </w:rPr>
      </w:pPr>
      <w:r w:rsidRPr="00F22F33">
        <w:rPr>
          <w:rFonts w:eastAsia="Calibri"/>
          <w:bCs/>
          <w:sz w:val="24"/>
          <w:lang w:eastAsia="en-US"/>
        </w:rPr>
        <w:t xml:space="preserve">La disciplina assegna al RPCT compiti di coordinamento del processo di gestione del rischio, con particolare riferimento alla fase di predisposizione del PTPCT e al monitoraggio.  In tale quadro, l’organo di indirizzo politico ha il compito di: </w:t>
      </w:r>
    </w:p>
    <w:p w14:paraId="5A0B0549" w14:textId="77777777" w:rsidR="00B40B64" w:rsidRPr="00F22F33" w:rsidRDefault="00B40B64" w:rsidP="00B40B64">
      <w:pPr>
        <w:pStyle w:val="Corpotesto"/>
        <w:numPr>
          <w:ilvl w:val="0"/>
          <w:numId w:val="26"/>
        </w:numPr>
        <w:spacing w:before="120"/>
        <w:jc w:val="both"/>
        <w:rPr>
          <w:rFonts w:eastAsia="Calibri"/>
          <w:bCs/>
          <w:sz w:val="24"/>
          <w:lang w:eastAsia="en-US"/>
        </w:rPr>
      </w:pPr>
      <w:r w:rsidRPr="00F22F33">
        <w:rPr>
          <w:rFonts w:eastAsia="Calibri"/>
          <w:bCs/>
          <w:sz w:val="24"/>
          <w:lang w:eastAsia="en-US"/>
        </w:rPr>
        <w:t xml:space="preserve">valorizzare, in sede di formulazione degli indirizzi e delle strategie dell’amministrazione, lo sviluppo e la realizzazione di un efficace processo di gestione del rischio di corruzione; </w:t>
      </w:r>
    </w:p>
    <w:p w14:paraId="73D6A4CC" w14:textId="77777777" w:rsidR="00B40B64" w:rsidRPr="00F22F33" w:rsidRDefault="00B40B64" w:rsidP="00B40B64">
      <w:pPr>
        <w:pStyle w:val="Corpotesto"/>
        <w:numPr>
          <w:ilvl w:val="0"/>
          <w:numId w:val="26"/>
        </w:numPr>
        <w:spacing w:before="120"/>
        <w:jc w:val="both"/>
        <w:rPr>
          <w:rFonts w:eastAsia="Calibri"/>
          <w:bCs/>
          <w:sz w:val="24"/>
          <w:lang w:eastAsia="en-US"/>
        </w:rPr>
      </w:pPr>
      <w:r w:rsidRPr="00F22F33">
        <w:rPr>
          <w:rFonts w:eastAsia="Calibri"/>
          <w:bCs/>
          <w:sz w:val="24"/>
          <w:lang w:eastAsia="en-US"/>
        </w:rPr>
        <w:t xml:space="preserve">tenere conto, in sede di nomina del RPCT, delle competenze e della autorevolezza necessarie al corretto svolgimento delle funzioni ad esso assegnate e ad operarsi affinché le stesse siano sviluppate nel tempo; </w:t>
      </w:r>
    </w:p>
    <w:p w14:paraId="0C7D19CD" w14:textId="77777777" w:rsidR="00B40B64" w:rsidRPr="00F22F33" w:rsidRDefault="00B40B64" w:rsidP="00B40B64">
      <w:pPr>
        <w:pStyle w:val="Corpotesto"/>
        <w:numPr>
          <w:ilvl w:val="0"/>
          <w:numId w:val="26"/>
        </w:numPr>
        <w:spacing w:before="120"/>
        <w:jc w:val="both"/>
        <w:rPr>
          <w:rFonts w:eastAsia="Calibri"/>
          <w:bCs/>
          <w:sz w:val="24"/>
          <w:lang w:eastAsia="en-US"/>
        </w:rPr>
      </w:pPr>
      <w:r w:rsidRPr="00F22F33">
        <w:rPr>
          <w:rFonts w:eastAsia="Calibri"/>
          <w:bCs/>
          <w:sz w:val="24"/>
          <w:lang w:eastAsia="en-US"/>
        </w:rPr>
        <w:t xml:space="preserve">assicurare al RPCT un supporto concreto, garantendo la disponibilità di risorse umane e digitali adeguate, al fine di favorire il corretto svolgimento delle sue funzioni; </w:t>
      </w:r>
    </w:p>
    <w:p w14:paraId="36539255" w14:textId="77777777" w:rsidR="00B40B64" w:rsidRPr="00F22F33" w:rsidRDefault="00B40B64" w:rsidP="00B40B64">
      <w:pPr>
        <w:pStyle w:val="Corpotesto"/>
        <w:numPr>
          <w:ilvl w:val="0"/>
          <w:numId w:val="26"/>
        </w:numPr>
        <w:spacing w:before="120"/>
        <w:jc w:val="both"/>
        <w:rPr>
          <w:rFonts w:eastAsia="Calibri"/>
          <w:bCs/>
          <w:sz w:val="24"/>
          <w:lang w:eastAsia="en-US"/>
        </w:rPr>
      </w:pPr>
      <w:r w:rsidRPr="00F22F33">
        <w:rPr>
          <w:rFonts w:eastAsia="Calibri"/>
          <w:bCs/>
          <w:sz w:val="24"/>
          <w:lang w:eastAsia="en-US"/>
        </w:rPr>
        <w:t xml:space="preserve">promuovere una cultura della valutazione del rischio all’interno dell’organizzazione, incentivando l’attuazione di percorsi formativi e di sensibilizzazione relativi all’etica pubblica che coinvolgano l’intero personale.  </w:t>
      </w:r>
    </w:p>
    <w:p w14:paraId="3F219DF2" w14:textId="77777777" w:rsidR="00B40B64" w:rsidRPr="00F22F33" w:rsidRDefault="00B40B64" w:rsidP="00B40B64">
      <w:pPr>
        <w:pStyle w:val="Corpotesto"/>
        <w:spacing w:before="120"/>
        <w:jc w:val="both"/>
        <w:rPr>
          <w:rFonts w:eastAsia="Calibri"/>
          <w:bCs/>
          <w:sz w:val="24"/>
          <w:lang w:eastAsia="en-US"/>
        </w:rPr>
      </w:pPr>
    </w:p>
    <w:p w14:paraId="07B5294E" w14:textId="53644F07" w:rsidR="00B40B64" w:rsidRPr="00F22F33" w:rsidRDefault="00B40B64" w:rsidP="00B40B64">
      <w:pPr>
        <w:pStyle w:val="TitoloB"/>
        <w:keepNext/>
        <w:widowControl w:val="0"/>
        <w:numPr>
          <w:ilvl w:val="2"/>
          <w:numId w:val="5"/>
        </w:numPr>
        <w:spacing w:before="120" w:after="0" w:line="240" w:lineRule="auto"/>
        <w:ind w:right="0"/>
        <w:jc w:val="both"/>
        <w:outlineLvl w:val="1"/>
        <w:rPr>
          <w:sz w:val="24"/>
          <w:szCs w:val="24"/>
        </w:rPr>
      </w:pPr>
      <w:bookmarkStart w:id="24" w:name="_Toc97543221"/>
      <w:bookmarkStart w:id="25" w:name="_Toc131582805"/>
      <w:bookmarkStart w:id="26" w:name="_Toc131582914"/>
      <w:bookmarkStart w:id="27" w:name="_Toc131583533"/>
      <w:proofErr w:type="gramStart"/>
      <w:r w:rsidRPr="00F22F33">
        <w:rPr>
          <w:sz w:val="24"/>
          <w:szCs w:val="24"/>
        </w:rPr>
        <w:t>I  responsabili</w:t>
      </w:r>
      <w:proofErr w:type="gramEnd"/>
      <w:r w:rsidRPr="00F22F33">
        <w:rPr>
          <w:sz w:val="24"/>
          <w:szCs w:val="24"/>
        </w:rPr>
        <w:t xml:space="preserve"> delle unità organizzative</w:t>
      </w:r>
      <w:bookmarkEnd w:id="24"/>
      <w:bookmarkEnd w:id="25"/>
      <w:bookmarkEnd w:id="26"/>
      <w:bookmarkEnd w:id="27"/>
      <w:r w:rsidRPr="00F22F33">
        <w:rPr>
          <w:sz w:val="24"/>
          <w:szCs w:val="24"/>
        </w:rPr>
        <w:t xml:space="preserve"> </w:t>
      </w:r>
    </w:p>
    <w:p w14:paraId="4BFE4763" w14:textId="2AF7C013" w:rsidR="00B40B64" w:rsidRPr="00F22F33" w:rsidRDefault="00B40B64" w:rsidP="00B40B64">
      <w:pPr>
        <w:pStyle w:val="Corpotesto"/>
        <w:spacing w:before="120"/>
        <w:jc w:val="both"/>
        <w:rPr>
          <w:rFonts w:eastAsia="Calibri"/>
          <w:bCs/>
          <w:sz w:val="24"/>
          <w:lang w:eastAsia="en-US"/>
        </w:rPr>
      </w:pPr>
      <w:r w:rsidRPr="00F22F33">
        <w:rPr>
          <w:rFonts w:eastAsia="Calibri"/>
          <w:bCs/>
          <w:sz w:val="24"/>
          <w:lang w:eastAsia="en-US"/>
        </w:rPr>
        <w:t xml:space="preserve">I responsabili delle unità organizzative devono collaborare alla programmazione ed all’attuazione delle misure di prevenzione e contrasto della corruzione.  In particolare, devono: </w:t>
      </w:r>
    </w:p>
    <w:p w14:paraId="750587B0" w14:textId="77777777" w:rsidR="00B40B64" w:rsidRPr="00F22F33" w:rsidRDefault="00B40B64" w:rsidP="00B40B64">
      <w:pPr>
        <w:pStyle w:val="Corpotesto"/>
        <w:numPr>
          <w:ilvl w:val="0"/>
          <w:numId w:val="27"/>
        </w:numPr>
        <w:spacing w:before="120"/>
        <w:jc w:val="both"/>
        <w:rPr>
          <w:rFonts w:eastAsia="Calibri"/>
          <w:bCs/>
          <w:sz w:val="24"/>
          <w:lang w:eastAsia="en-US"/>
        </w:rPr>
      </w:pPr>
      <w:r w:rsidRPr="00F22F33">
        <w:rPr>
          <w:rFonts w:eastAsia="Calibri"/>
          <w:bCs/>
          <w:sz w:val="24"/>
          <w:lang w:eastAsia="en-US"/>
        </w:rPr>
        <w:t xml:space="preserve">valorizzare la realizzazione di un efficace processo di gestione del rischio di corruzione in sede di formulazione degli obiettivi delle proprie unità organizzative; </w:t>
      </w:r>
    </w:p>
    <w:p w14:paraId="70336C43" w14:textId="77777777" w:rsidR="00B40B64" w:rsidRPr="00F22F33" w:rsidRDefault="00B40B64" w:rsidP="00B40B64">
      <w:pPr>
        <w:pStyle w:val="Corpotesto"/>
        <w:numPr>
          <w:ilvl w:val="0"/>
          <w:numId w:val="27"/>
        </w:numPr>
        <w:spacing w:before="120"/>
        <w:jc w:val="both"/>
        <w:rPr>
          <w:rFonts w:eastAsia="Calibri"/>
          <w:bCs/>
          <w:sz w:val="24"/>
          <w:lang w:eastAsia="en-US"/>
        </w:rPr>
      </w:pPr>
      <w:r w:rsidRPr="00F22F33">
        <w:rPr>
          <w:rFonts w:eastAsia="Calibri"/>
          <w:bCs/>
          <w:sz w:val="24"/>
          <w:lang w:eastAsia="en-US"/>
        </w:rPr>
        <w:t xml:space="preserve">partecipare attivamente al processo di gestione del rischio, coordinandosi opportunamente con il RPCT, e fornendo i dati e le informazioni necessarie per realizzare l’analisi del contesto, la valutazione, il trattamento del rischio e il monitoraggio delle misure; </w:t>
      </w:r>
    </w:p>
    <w:p w14:paraId="7FCD33F5" w14:textId="77777777" w:rsidR="00B40B64" w:rsidRPr="00F22F33" w:rsidRDefault="00B40B64" w:rsidP="00B40B64">
      <w:pPr>
        <w:pStyle w:val="Corpotesto"/>
        <w:numPr>
          <w:ilvl w:val="0"/>
          <w:numId w:val="27"/>
        </w:numPr>
        <w:spacing w:before="120"/>
        <w:jc w:val="both"/>
        <w:rPr>
          <w:rFonts w:eastAsia="Calibri"/>
          <w:bCs/>
          <w:sz w:val="24"/>
          <w:lang w:eastAsia="en-US"/>
        </w:rPr>
      </w:pPr>
      <w:r w:rsidRPr="00F22F33">
        <w:rPr>
          <w:rFonts w:eastAsia="Calibri"/>
          <w:bCs/>
          <w:sz w:val="24"/>
          <w:lang w:eastAsia="en-US"/>
        </w:rPr>
        <w:t xml:space="preserve">curare lo sviluppo delle proprie competenze in materia di gestione del rischio di corruzione e promuovere la formazione in materia dei dipendenti assegnati ai propri uffici, nonché la diffusione di una cultura organizzativa basata sull’integrità; </w:t>
      </w:r>
    </w:p>
    <w:p w14:paraId="7E4F3450" w14:textId="77777777" w:rsidR="00B40B64" w:rsidRPr="00F22F33" w:rsidRDefault="00B40B64" w:rsidP="00B40B64">
      <w:pPr>
        <w:pStyle w:val="Corpotesto"/>
        <w:numPr>
          <w:ilvl w:val="0"/>
          <w:numId w:val="27"/>
        </w:numPr>
        <w:spacing w:before="120"/>
        <w:jc w:val="both"/>
        <w:rPr>
          <w:rFonts w:eastAsia="Calibri"/>
          <w:bCs/>
          <w:sz w:val="24"/>
          <w:lang w:eastAsia="en-US"/>
        </w:rPr>
      </w:pPr>
      <w:r w:rsidRPr="00F22F33">
        <w:rPr>
          <w:rFonts w:eastAsia="Calibri"/>
          <w:bCs/>
          <w:sz w:val="24"/>
          <w:lang w:eastAsia="en-US"/>
        </w:rPr>
        <w:t xml:space="preserve">assumersi la responsabilità dell’attuazione delle misure di propria competenza programmate nel PTPCT e operare in maniera tale da </w:t>
      </w:r>
      <w:r w:rsidRPr="00F22F33">
        <w:rPr>
          <w:rFonts w:eastAsia="Calibri"/>
          <w:bCs/>
          <w:sz w:val="24"/>
          <w:lang w:eastAsia="en-US"/>
        </w:rPr>
        <w:lastRenderedPageBreak/>
        <w:t xml:space="preserve">creare le condizioni che consentano l’efficace attuazione delle stesse da parte del loro personale (ad esempio, contribuendo con proposte di misure specifiche che tengano conto dei principi guida indicati nel PNA 2019 e, in particolare, dei principi di selettività, effettività, prevalenza della sostanza sulla forma); </w:t>
      </w:r>
    </w:p>
    <w:p w14:paraId="3F96DA12" w14:textId="77777777" w:rsidR="00B40B64" w:rsidRPr="00F22F33" w:rsidRDefault="00B40B64" w:rsidP="00B40B64">
      <w:pPr>
        <w:pStyle w:val="Corpotesto"/>
        <w:numPr>
          <w:ilvl w:val="0"/>
          <w:numId w:val="27"/>
        </w:numPr>
        <w:spacing w:before="120"/>
        <w:jc w:val="both"/>
        <w:rPr>
          <w:rFonts w:eastAsia="Calibri"/>
          <w:bCs/>
          <w:sz w:val="24"/>
          <w:lang w:eastAsia="en-US"/>
        </w:rPr>
      </w:pPr>
      <w:r w:rsidRPr="00F22F33">
        <w:rPr>
          <w:rFonts w:eastAsia="Calibri"/>
          <w:bCs/>
          <w:sz w:val="24"/>
          <w:lang w:eastAsia="en-US"/>
        </w:rPr>
        <w:t xml:space="preserve">tener conto, in sede di valutazione delle performance, del reale contributo apportato dai dipendenti all’attuazione del processo di gestione del rischio e del loro grado di collaborazione con il RPCT.  </w:t>
      </w:r>
    </w:p>
    <w:p w14:paraId="1938CBDE" w14:textId="77777777" w:rsidR="00B40B64" w:rsidRPr="00F22F33" w:rsidRDefault="00B40B64" w:rsidP="00B40B64">
      <w:pPr>
        <w:pStyle w:val="Corpotesto"/>
        <w:spacing w:before="120"/>
        <w:jc w:val="both"/>
        <w:rPr>
          <w:rFonts w:eastAsia="Calibri"/>
          <w:bCs/>
          <w:sz w:val="24"/>
          <w:lang w:eastAsia="en-US"/>
        </w:rPr>
      </w:pPr>
    </w:p>
    <w:p w14:paraId="32F1C9A2" w14:textId="77777777" w:rsidR="00B40B64" w:rsidRPr="00F22F33" w:rsidRDefault="00B40B64" w:rsidP="00B40B64">
      <w:pPr>
        <w:pStyle w:val="TitoloB"/>
        <w:keepNext/>
        <w:widowControl w:val="0"/>
        <w:numPr>
          <w:ilvl w:val="2"/>
          <w:numId w:val="5"/>
        </w:numPr>
        <w:spacing w:before="120" w:after="0" w:line="240" w:lineRule="auto"/>
        <w:ind w:right="0"/>
        <w:jc w:val="both"/>
        <w:outlineLvl w:val="1"/>
        <w:rPr>
          <w:sz w:val="24"/>
          <w:szCs w:val="24"/>
        </w:rPr>
      </w:pPr>
      <w:bookmarkStart w:id="28" w:name="_Toc97543222"/>
      <w:bookmarkStart w:id="29" w:name="_Toc131582806"/>
      <w:bookmarkStart w:id="30" w:name="_Toc131582915"/>
      <w:bookmarkStart w:id="31" w:name="_Toc131583534"/>
      <w:r w:rsidRPr="00F22F33">
        <w:rPr>
          <w:sz w:val="24"/>
          <w:szCs w:val="24"/>
        </w:rPr>
        <w:t>Gli Organismi Indipendenti di Valutazione (OIV)</w:t>
      </w:r>
      <w:bookmarkEnd w:id="28"/>
      <w:bookmarkEnd w:id="29"/>
      <w:bookmarkEnd w:id="30"/>
      <w:bookmarkEnd w:id="31"/>
    </w:p>
    <w:p w14:paraId="00D1185C" w14:textId="2780AC5D" w:rsidR="00B40B64" w:rsidRPr="00F22F33" w:rsidRDefault="00B40B64" w:rsidP="00B40B64">
      <w:pPr>
        <w:pStyle w:val="Corpotesto"/>
        <w:spacing w:before="120"/>
        <w:jc w:val="both"/>
        <w:rPr>
          <w:rFonts w:eastAsia="Calibri"/>
          <w:bCs/>
          <w:sz w:val="24"/>
          <w:lang w:eastAsia="en-US"/>
        </w:rPr>
      </w:pPr>
      <w:r w:rsidRPr="00F22F33">
        <w:rPr>
          <w:rFonts w:eastAsia="Calibri"/>
          <w:bCs/>
          <w:sz w:val="24"/>
          <w:lang w:eastAsia="en-US"/>
        </w:rPr>
        <w:t xml:space="preserve">Gli Organismi Indipendenti di Valutazione (OIV) e le strutture che svolgono funzioni assimilabili, quali i Nuclei di valutazione, partecipano alle politiche di contrasto della corruzione e devono: </w:t>
      </w:r>
    </w:p>
    <w:p w14:paraId="70A01FFD" w14:textId="77777777" w:rsidR="00B40B64" w:rsidRPr="00F22F33" w:rsidRDefault="00B40B64" w:rsidP="00B40B64">
      <w:pPr>
        <w:pStyle w:val="Corpotesto"/>
        <w:numPr>
          <w:ilvl w:val="0"/>
          <w:numId w:val="28"/>
        </w:numPr>
        <w:spacing w:before="120"/>
        <w:jc w:val="both"/>
        <w:rPr>
          <w:rFonts w:eastAsia="Calibri"/>
          <w:bCs/>
          <w:sz w:val="24"/>
          <w:lang w:eastAsia="en-US"/>
        </w:rPr>
      </w:pPr>
      <w:r w:rsidRPr="00F22F33">
        <w:rPr>
          <w:rFonts w:eastAsia="Calibri"/>
          <w:bCs/>
          <w:sz w:val="24"/>
          <w:lang w:eastAsia="en-US"/>
        </w:rPr>
        <w:t xml:space="preserve">offrire, nell’ambito delle proprie competenze specifiche, un supporto metodologico al RPCT e agli altri attori, con riferimento alla corretta attuazione del processo di gestione del rischio corruttivo; </w:t>
      </w:r>
    </w:p>
    <w:p w14:paraId="49F8314F" w14:textId="77777777" w:rsidR="00B40B64" w:rsidRPr="00F22F33" w:rsidRDefault="00B40B64" w:rsidP="00B40B64">
      <w:pPr>
        <w:pStyle w:val="Corpotesto"/>
        <w:numPr>
          <w:ilvl w:val="0"/>
          <w:numId w:val="28"/>
        </w:numPr>
        <w:spacing w:before="120"/>
        <w:jc w:val="both"/>
        <w:rPr>
          <w:rFonts w:eastAsia="Calibri"/>
          <w:bCs/>
          <w:sz w:val="24"/>
          <w:lang w:eastAsia="en-US"/>
        </w:rPr>
      </w:pPr>
      <w:r w:rsidRPr="00F22F33">
        <w:rPr>
          <w:rFonts w:eastAsia="Calibri"/>
          <w:bCs/>
          <w:sz w:val="24"/>
          <w:lang w:eastAsia="en-US"/>
        </w:rPr>
        <w:t xml:space="preserve">fornire, qualora disponibili, dati e informazioni utili all’analisi del contesto (inclusa la rilevazione dei processi), alla valutazione e al trattamento dei rischi; </w:t>
      </w:r>
    </w:p>
    <w:p w14:paraId="51888794" w14:textId="77777777" w:rsidR="00B40B64" w:rsidRPr="00F22F33" w:rsidRDefault="00B40B64" w:rsidP="00B40B64">
      <w:pPr>
        <w:pStyle w:val="Corpotesto"/>
        <w:numPr>
          <w:ilvl w:val="0"/>
          <w:numId w:val="28"/>
        </w:numPr>
        <w:spacing w:before="120"/>
        <w:jc w:val="both"/>
        <w:rPr>
          <w:rFonts w:eastAsia="Calibri"/>
          <w:bCs/>
          <w:sz w:val="24"/>
          <w:lang w:eastAsia="en-US"/>
        </w:rPr>
      </w:pPr>
      <w:r w:rsidRPr="00F22F33">
        <w:rPr>
          <w:rFonts w:eastAsia="Calibri"/>
          <w:bCs/>
          <w:sz w:val="24"/>
          <w:lang w:eastAsia="en-US"/>
        </w:rPr>
        <w:t xml:space="preserve">favorire l’integrazione metodologica tra il ciclo di gestione della performance e il ciclo di gestione del rischio corruttivo.  </w:t>
      </w:r>
    </w:p>
    <w:p w14:paraId="7DC61779" w14:textId="77777777" w:rsidR="00B40B64" w:rsidRPr="00F22F33" w:rsidRDefault="00B40B64" w:rsidP="00B40B64">
      <w:pPr>
        <w:pStyle w:val="Corpotesto"/>
        <w:numPr>
          <w:ilvl w:val="0"/>
          <w:numId w:val="28"/>
        </w:numPr>
        <w:spacing w:before="120"/>
        <w:jc w:val="both"/>
        <w:rPr>
          <w:rFonts w:eastAsia="Calibri"/>
          <w:bCs/>
          <w:sz w:val="24"/>
          <w:lang w:eastAsia="en-US"/>
        </w:rPr>
      </w:pPr>
      <w:r w:rsidRPr="00F22F33">
        <w:rPr>
          <w:rFonts w:eastAsia="Calibri"/>
          <w:bCs/>
          <w:sz w:val="24"/>
          <w:lang w:eastAsia="en-US"/>
        </w:rPr>
        <w:t xml:space="preserve">Il RPCT può avvalersi delle strutture di vigilanza ed audit interno, laddove presenti, per: </w:t>
      </w:r>
    </w:p>
    <w:p w14:paraId="337F6D93" w14:textId="77777777" w:rsidR="00B40B64" w:rsidRPr="00F22F33" w:rsidRDefault="00B40B64" w:rsidP="00B40B64">
      <w:pPr>
        <w:pStyle w:val="Corpotesto"/>
        <w:numPr>
          <w:ilvl w:val="0"/>
          <w:numId w:val="28"/>
        </w:numPr>
        <w:spacing w:before="120"/>
        <w:jc w:val="both"/>
        <w:rPr>
          <w:rFonts w:eastAsia="Calibri"/>
          <w:bCs/>
          <w:sz w:val="24"/>
          <w:lang w:eastAsia="en-US"/>
        </w:rPr>
      </w:pPr>
      <w:r w:rsidRPr="00F22F33">
        <w:rPr>
          <w:rFonts w:eastAsia="Calibri"/>
          <w:bCs/>
          <w:sz w:val="24"/>
          <w:lang w:eastAsia="en-US"/>
        </w:rPr>
        <w:t xml:space="preserve">attuare il sistema di monitoraggio del PTPCT, richiedendo all’organo di indirizzo politico il supporto di queste strutture per realizzare le attività di verifica (audit) sull’attuazione e l’idoneità delle misure di trattamento del rischio; </w:t>
      </w:r>
    </w:p>
    <w:p w14:paraId="3A9B7A8B" w14:textId="77777777" w:rsidR="00B40B64" w:rsidRPr="00F22F33" w:rsidRDefault="00B40B64" w:rsidP="00B40B64">
      <w:pPr>
        <w:pStyle w:val="Corpotesto"/>
        <w:numPr>
          <w:ilvl w:val="0"/>
          <w:numId w:val="28"/>
        </w:numPr>
        <w:spacing w:before="120"/>
        <w:jc w:val="both"/>
        <w:rPr>
          <w:rFonts w:eastAsia="Calibri"/>
          <w:bCs/>
          <w:sz w:val="24"/>
          <w:lang w:eastAsia="en-US"/>
        </w:rPr>
      </w:pPr>
      <w:r w:rsidRPr="00F22F33">
        <w:rPr>
          <w:rFonts w:eastAsia="Calibri"/>
          <w:bCs/>
          <w:sz w:val="24"/>
          <w:lang w:eastAsia="en-US"/>
        </w:rPr>
        <w:t xml:space="preserve">svolgere l’esame periodico della funzionalità del processo di gestione del rischio.  </w:t>
      </w:r>
    </w:p>
    <w:p w14:paraId="79B8EDAD" w14:textId="77777777" w:rsidR="00B40B64" w:rsidRPr="00F22F33" w:rsidRDefault="00B40B64" w:rsidP="00B40B64">
      <w:pPr>
        <w:pStyle w:val="Corpotesto"/>
        <w:spacing w:before="120"/>
        <w:ind w:left="360"/>
        <w:jc w:val="both"/>
        <w:rPr>
          <w:rFonts w:eastAsia="Calibri"/>
          <w:bCs/>
          <w:sz w:val="24"/>
          <w:lang w:eastAsia="en-US"/>
        </w:rPr>
      </w:pPr>
    </w:p>
    <w:p w14:paraId="4682F51E" w14:textId="77777777" w:rsidR="00B40B64" w:rsidRPr="00F22F33" w:rsidRDefault="00B40B64" w:rsidP="00B40B64">
      <w:pPr>
        <w:pStyle w:val="TitoloB"/>
        <w:keepNext/>
        <w:widowControl w:val="0"/>
        <w:numPr>
          <w:ilvl w:val="2"/>
          <w:numId w:val="5"/>
        </w:numPr>
        <w:spacing w:before="120" w:after="0" w:line="240" w:lineRule="auto"/>
        <w:ind w:right="0"/>
        <w:jc w:val="both"/>
        <w:outlineLvl w:val="1"/>
        <w:rPr>
          <w:sz w:val="24"/>
          <w:szCs w:val="24"/>
        </w:rPr>
      </w:pPr>
      <w:bookmarkStart w:id="32" w:name="_Toc97543223"/>
      <w:bookmarkStart w:id="33" w:name="_Toc131582807"/>
      <w:bookmarkStart w:id="34" w:name="_Toc131582916"/>
      <w:bookmarkStart w:id="35" w:name="_Toc131583535"/>
      <w:r w:rsidRPr="00F22F33">
        <w:rPr>
          <w:sz w:val="24"/>
          <w:szCs w:val="24"/>
        </w:rPr>
        <w:t>Il personale dipendente</w:t>
      </w:r>
      <w:bookmarkEnd w:id="32"/>
      <w:bookmarkEnd w:id="33"/>
      <w:bookmarkEnd w:id="34"/>
      <w:bookmarkEnd w:id="35"/>
    </w:p>
    <w:p w14:paraId="29024FB3" w14:textId="77777777" w:rsidR="00B40B64" w:rsidRPr="00F22F33" w:rsidRDefault="00B40B64" w:rsidP="00B40B64">
      <w:pPr>
        <w:pStyle w:val="Corpotesto"/>
        <w:spacing w:before="120"/>
        <w:jc w:val="both"/>
        <w:rPr>
          <w:rFonts w:eastAsia="Calibri"/>
          <w:bCs/>
          <w:sz w:val="24"/>
          <w:lang w:eastAsia="en-US"/>
        </w:rPr>
      </w:pPr>
      <w:r w:rsidRPr="00F22F33">
        <w:rPr>
          <w:rFonts w:eastAsia="Calibri"/>
          <w:bCs/>
          <w:sz w:val="24"/>
          <w:lang w:eastAsia="en-US"/>
        </w:rPr>
        <w:t>I singoli dipendenti</w:t>
      </w:r>
      <w:r w:rsidRPr="00F22F33">
        <w:rPr>
          <w:rFonts w:eastAsia="Calibri"/>
          <w:b/>
          <w:sz w:val="24"/>
          <w:lang w:eastAsia="en-US"/>
        </w:rPr>
        <w:t xml:space="preserve"> </w:t>
      </w:r>
      <w:r w:rsidRPr="00F22F33">
        <w:rPr>
          <w:rFonts w:eastAsia="Calibri"/>
          <w:bCs/>
          <w:sz w:val="24"/>
          <w:lang w:eastAsia="en-US"/>
        </w:rPr>
        <w:t xml:space="preserve">partecipano attivamente al processo di gestione del rischio e, in particolare, alla attuazione delle misure di prevenzione programmate nel PTPCT.  </w:t>
      </w:r>
    </w:p>
    <w:p w14:paraId="58B84AA9" w14:textId="77777777" w:rsidR="00B40B64" w:rsidRPr="00F22F33" w:rsidRDefault="00B40B64" w:rsidP="00B40B64">
      <w:pPr>
        <w:pStyle w:val="Corpotesto"/>
        <w:spacing w:before="120"/>
        <w:jc w:val="both"/>
        <w:rPr>
          <w:rFonts w:eastAsia="Calibri"/>
          <w:bCs/>
          <w:sz w:val="24"/>
          <w:lang w:eastAsia="en-US"/>
        </w:rPr>
      </w:pPr>
      <w:r w:rsidRPr="00F22F33">
        <w:rPr>
          <w:rFonts w:eastAsia="Calibri"/>
          <w:bCs/>
          <w:sz w:val="24"/>
          <w:lang w:eastAsia="en-US"/>
        </w:rPr>
        <w:t xml:space="preserve">Tutti i soggetti che dispongono di dati utili e rilevanti (es. uffici legali interni, uffici di statistica, uffici di controllo interno, ecc.) hanno l’obbligo di fornirli tempestivamente al RPCT ai fini della corretta attuazione del processo di gestione del rischio.  </w:t>
      </w:r>
    </w:p>
    <w:p w14:paraId="31151DEC" w14:textId="739906AC" w:rsidR="00B40B64" w:rsidRDefault="00B40B64" w:rsidP="00B40B64">
      <w:pPr>
        <w:pStyle w:val="Corpotesto"/>
        <w:spacing w:before="120"/>
        <w:jc w:val="both"/>
        <w:rPr>
          <w:rFonts w:eastAsia="Calibri"/>
          <w:bCs/>
          <w:sz w:val="24"/>
          <w:lang w:eastAsia="en-US"/>
        </w:rPr>
      </w:pPr>
    </w:p>
    <w:p w14:paraId="50A1F2AA" w14:textId="77777777" w:rsidR="004E3456" w:rsidRPr="00F22F33" w:rsidRDefault="004E3456" w:rsidP="00B40B64">
      <w:pPr>
        <w:pStyle w:val="Corpotesto"/>
        <w:spacing w:before="120"/>
        <w:jc w:val="both"/>
        <w:rPr>
          <w:rFonts w:eastAsia="Calibri"/>
          <w:bCs/>
          <w:sz w:val="24"/>
          <w:lang w:eastAsia="en-US"/>
        </w:rPr>
      </w:pPr>
    </w:p>
    <w:p w14:paraId="1229A920" w14:textId="77777777" w:rsidR="00B40B64" w:rsidRPr="00F22F33" w:rsidRDefault="00B40B64" w:rsidP="00B40B64">
      <w:pPr>
        <w:pStyle w:val="TitoloB"/>
        <w:keepNext/>
        <w:widowControl w:val="0"/>
        <w:numPr>
          <w:ilvl w:val="1"/>
          <w:numId w:val="5"/>
        </w:numPr>
        <w:spacing w:before="120" w:after="0" w:line="240" w:lineRule="auto"/>
        <w:ind w:right="0"/>
        <w:jc w:val="both"/>
        <w:outlineLvl w:val="1"/>
        <w:rPr>
          <w:sz w:val="24"/>
          <w:szCs w:val="24"/>
        </w:rPr>
      </w:pPr>
      <w:bookmarkStart w:id="36" w:name="_Toc87523790"/>
      <w:bookmarkStart w:id="37" w:name="_Toc97543224"/>
      <w:bookmarkStart w:id="38" w:name="_Toc131582808"/>
      <w:bookmarkStart w:id="39" w:name="_Toc131582917"/>
      <w:bookmarkStart w:id="40" w:name="_Toc131583536"/>
      <w:r w:rsidRPr="00F22F33">
        <w:rPr>
          <w:sz w:val="24"/>
          <w:szCs w:val="24"/>
        </w:rPr>
        <w:lastRenderedPageBreak/>
        <w:t>Le modalità di approvazione delle misure di prevenzione della corruzione e per la trasparenza</w:t>
      </w:r>
      <w:bookmarkEnd w:id="36"/>
      <w:bookmarkEnd w:id="37"/>
      <w:bookmarkEnd w:id="38"/>
      <w:bookmarkEnd w:id="39"/>
      <w:bookmarkEnd w:id="40"/>
    </w:p>
    <w:p w14:paraId="6349E18D" w14:textId="77777777" w:rsidR="00B40B64" w:rsidRPr="00F22F33" w:rsidRDefault="00B40B64" w:rsidP="00B40B64">
      <w:pPr>
        <w:pStyle w:val="Corpotesto"/>
        <w:spacing w:before="120"/>
        <w:jc w:val="both"/>
        <w:rPr>
          <w:rFonts w:eastAsia="Calibri"/>
          <w:bCs/>
          <w:sz w:val="24"/>
          <w:lang w:eastAsia="en-US"/>
        </w:rPr>
      </w:pPr>
      <w:r w:rsidRPr="00F22F33">
        <w:rPr>
          <w:rFonts w:eastAsia="Calibri"/>
          <w:bCs/>
          <w:sz w:val="24"/>
          <w:lang w:eastAsia="en-US"/>
        </w:rPr>
        <w:t xml:space="preserve">Premesso che l’attività di elaborazione non può essere affidata a soggetti esterni all'amministrazione, il RPCT deve elaborare e proporre le misure di prevenzione della corruzione e per la trasparenza da inserire nel PIAO, ovvero lo schema del PTPCT. </w:t>
      </w:r>
    </w:p>
    <w:p w14:paraId="245ECF84" w14:textId="77777777" w:rsidR="00B40B64" w:rsidRPr="00F22F33" w:rsidRDefault="00B40B64" w:rsidP="00B40B64">
      <w:pPr>
        <w:pStyle w:val="Corpotesto"/>
        <w:spacing w:before="120"/>
        <w:jc w:val="both"/>
        <w:rPr>
          <w:rFonts w:eastAsia="Calibri"/>
          <w:bCs/>
          <w:sz w:val="24"/>
          <w:lang w:eastAsia="en-US"/>
        </w:rPr>
      </w:pPr>
      <w:r w:rsidRPr="00F22F33">
        <w:rPr>
          <w:rFonts w:eastAsia="Calibri"/>
          <w:bCs/>
          <w:sz w:val="24"/>
          <w:lang w:eastAsia="en-US"/>
        </w:rPr>
        <w:t xml:space="preserve">L’ANAC sostiene che </w:t>
      </w:r>
      <w:proofErr w:type="gramStart"/>
      <w:r w:rsidRPr="00F22F33">
        <w:rPr>
          <w:rFonts w:eastAsia="Calibri"/>
          <w:bCs/>
          <w:sz w:val="24"/>
          <w:lang w:eastAsia="en-US"/>
        </w:rPr>
        <w:t>sia</w:t>
      </w:r>
      <w:proofErr w:type="gramEnd"/>
      <w:r w:rsidRPr="00F22F33">
        <w:rPr>
          <w:rFonts w:eastAsia="Calibri"/>
          <w:bCs/>
          <w:sz w:val="24"/>
          <w:lang w:eastAsia="en-US"/>
        </w:rPr>
        <w:t xml:space="preserve"> necessario assicurare la più larga condivisione delle misure anticorruzione con gli organi di indirizzo politico (ANAC determinazione n. 12 del 28/10/2015). A tale scopo, ritiene che sia utile prevedere una doppia approvazione. L’adozione di un primo schema di PTPCT e, successivamente, l’approvazione del piano in forma definitiva (PNA 2019). </w:t>
      </w:r>
    </w:p>
    <w:p w14:paraId="644BC701" w14:textId="416F678C" w:rsidR="00B40B64" w:rsidRPr="00F22F33" w:rsidRDefault="00B40B64" w:rsidP="00B40B64">
      <w:pPr>
        <w:pStyle w:val="Corpotesto"/>
        <w:spacing w:before="120"/>
        <w:jc w:val="both"/>
        <w:rPr>
          <w:rFonts w:eastAsia="Calibri"/>
          <w:bCs/>
          <w:color w:val="000000" w:themeColor="text1"/>
          <w:sz w:val="24"/>
          <w:lang w:eastAsia="en-US"/>
        </w:rPr>
      </w:pPr>
      <w:r w:rsidRPr="00F22F33">
        <w:rPr>
          <w:rFonts w:eastAsia="Calibri"/>
          <w:bCs/>
          <w:color w:val="000000" w:themeColor="text1"/>
          <w:sz w:val="24"/>
          <w:lang w:eastAsia="en-US"/>
        </w:rPr>
        <w:t>Allo scopo di assicurare il coinvolgimento</w:t>
      </w:r>
      <w:r w:rsidR="0074749B" w:rsidRPr="00F22F33">
        <w:rPr>
          <w:rFonts w:eastAsia="Calibri"/>
          <w:bCs/>
          <w:color w:val="000000" w:themeColor="text1"/>
          <w:sz w:val="24"/>
          <w:lang w:eastAsia="en-US"/>
        </w:rPr>
        <w:t xml:space="preserve"> dei cittadini, </w:t>
      </w:r>
      <w:r w:rsidRPr="00F22F33">
        <w:rPr>
          <w:rFonts w:eastAsia="Calibri"/>
          <w:bCs/>
          <w:color w:val="000000" w:themeColor="text1"/>
          <w:sz w:val="24"/>
          <w:lang w:eastAsia="en-US"/>
        </w:rPr>
        <w:t xml:space="preserve"> delle Associazioni </w:t>
      </w:r>
      <w:r w:rsidR="0074749B" w:rsidRPr="00F22F33">
        <w:rPr>
          <w:rFonts w:eastAsia="Calibri"/>
          <w:bCs/>
          <w:color w:val="000000" w:themeColor="text1"/>
          <w:sz w:val="24"/>
          <w:lang w:eastAsia="en-US"/>
        </w:rPr>
        <w:t xml:space="preserve">o altre forme di organizzazioni sindacali operanti sul territorio del Comune, sono stati invitati, con lettera pubblicata il 13.01.2023,  a presentare eventuali proposte e/o contributi per l’aggiornamento </w:t>
      </w:r>
      <w:r w:rsidRPr="00F22F33">
        <w:rPr>
          <w:rFonts w:eastAsia="Calibri"/>
          <w:bCs/>
          <w:color w:val="000000" w:themeColor="text1"/>
          <w:sz w:val="24"/>
          <w:lang w:eastAsia="en-US"/>
        </w:rPr>
        <w:t>e</w:t>
      </w:r>
      <w:r w:rsidR="0074749B" w:rsidRPr="00F22F33">
        <w:rPr>
          <w:rFonts w:eastAsia="Calibri"/>
          <w:bCs/>
          <w:color w:val="000000" w:themeColor="text1"/>
          <w:sz w:val="24"/>
          <w:lang w:eastAsia="en-US"/>
        </w:rPr>
        <w:t xml:space="preserve"> utili alla stesura della sottosezione rischi corruttivi e trasparenza del </w:t>
      </w:r>
      <w:r w:rsidRPr="00F22F33">
        <w:rPr>
          <w:rFonts w:eastAsia="Calibri"/>
          <w:bCs/>
          <w:color w:val="000000" w:themeColor="text1"/>
          <w:sz w:val="24"/>
          <w:lang w:eastAsia="en-US"/>
        </w:rPr>
        <w:t xml:space="preserve"> PIAO </w:t>
      </w:r>
      <w:r w:rsidR="0074749B" w:rsidRPr="00F22F33">
        <w:rPr>
          <w:rFonts w:eastAsia="Calibri"/>
          <w:bCs/>
          <w:color w:val="000000" w:themeColor="text1"/>
          <w:sz w:val="24"/>
          <w:lang w:eastAsia="en-US"/>
        </w:rPr>
        <w:t>entro il 28.01.2023 e che nulla è pervenuto</w:t>
      </w:r>
      <w:r w:rsidRPr="00F22F33">
        <w:rPr>
          <w:rFonts w:eastAsia="Calibri"/>
          <w:bCs/>
          <w:i/>
          <w:color w:val="000000" w:themeColor="text1"/>
          <w:sz w:val="24"/>
          <w:lang w:eastAsia="en-US"/>
        </w:rPr>
        <w:t xml:space="preserve">. </w:t>
      </w:r>
    </w:p>
    <w:p w14:paraId="4A1E5937" w14:textId="77777777" w:rsidR="00B40B64" w:rsidRPr="00F22F33" w:rsidRDefault="00B40B64" w:rsidP="00B40B64">
      <w:pPr>
        <w:pStyle w:val="Corpotesto"/>
        <w:spacing w:before="120"/>
        <w:jc w:val="both"/>
        <w:rPr>
          <w:rFonts w:eastAsia="Calibri"/>
          <w:bCs/>
          <w:color w:val="0F243E" w:themeColor="text2" w:themeShade="80"/>
          <w:sz w:val="24"/>
          <w:lang w:eastAsia="en-US"/>
        </w:rPr>
      </w:pPr>
    </w:p>
    <w:p w14:paraId="09516362" w14:textId="77777777" w:rsidR="00B40B64" w:rsidRPr="00F22F33" w:rsidRDefault="00B40B64" w:rsidP="00B40B64">
      <w:pPr>
        <w:pStyle w:val="TitoloB"/>
        <w:keepNext/>
        <w:widowControl w:val="0"/>
        <w:numPr>
          <w:ilvl w:val="1"/>
          <w:numId w:val="5"/>
        </w:numPr>
        <w:spacing w:before="120" w:after="0" w:line="240" w:lineRule="auto"/>
        <w:ind w:right="0"/>
        <w:jc w:val="both"/>
        <w:outlineLvl w:val="1"/>
        <w:rPr>
          <w:sz w:val="24"/>
          <w:szCs w:val="24"/>
        </w:rPr>
      </w:pPr>
      <w:bookmarkStart w:id="41" w:name="_Toc87523791"/>
      <w:bookmarkStart w:id="42" w:name="_Toc97543225"/>
      <w:bookmarkStart w:id="43" w:name="_Toc131582809"/>
      <w:bookmarkStart w:id="44" w:name="_Toc131582918"/>
      <w:bookmarkStart w:id="45" w:name="_Toc131583537"/>
      <w:r w:rsidRPr="00F22F33">
        <w:rPr>
          <w:sz w:val="24"/>
          <w:szCs w:val="24"/>
        </w:rPr>
        <w:t>Gli obiettivi strategici</w:t>
      </w:r>
      <w:bookmarkEnd w:id="41"/>
      <w:bookmarkEnd w:id="42"/>
      <w:bookmarkEnd w:id="43"/>
      <w:bookmarkEnd w:id="44"/>
      <w:bookmarkEnd w:id="45"/>
    </w:p>
    <w:p w14:paraId="125E5642" w14:textId="77777777" w:rsidR="00B40B64" w:rsidRPr="00F22F33" w:rsidRDefault="00B40B64" w:rsidP="00B40B64">
      <w:pPr>
        <w:pStyle w:val="Corpotesto"/>
        <w:spacing w:before="120"/>
        <w:jc w:val="both"/>
        <w:rPr>
          <w:rFonts w:eastAsia="Calibri"/>
          <w:bCs/>
          <w:sz w:val="24"/>
          <w:lang w:eastAsia="en-US"/>
        </w:rPr>
      </w:pPr>
      <w:r w:rsidRPr="00F22F33">
        <w:rPr>
          <w:rFonts w:eastAsia="Calibri"/>
          <w:bCs/>
          <w:sz w:val="24"/>
          <w:lang w:eastAsia="en-US"/>
        </w:rPr>
        <w:t xml:space="preserve">Il comma 8 dell’art. 1 della legge 190/2012 (rinnovato dal d.lgs. 97/2016) prevede che l'organo di indirizzo definisca gli obiettivi strategici in materia di prevenzione della corruzione. </w:t>
      </w:r>
    </w:p>
    <w:p w14:paraId="481FE988" w14:textId="77777777" w:rsidR="00B40B64" w:rsidRPr="00F22F33" w:rsidRDefault="00B40B64" w:rsidP="00B40B64">
      <w:pPr>
        <w:pStyle w:val="Corpotesto"/>
        <w:spacing w:before="120"/>
        <w:jc w:val="both"/>
        <w:rPr>
          <w:rFonts w:eastAsia="Calibri"/>
          <w:bCs/>
          <w:sz w:val="24"/>
          <w:lang w:eastAsia="en-US"/>
        </w:rPr>
      </w:pPr>
      <w:r w:rsidRPr="00F22F33">
        <w:rPr>
          <w:rFonts w:eastAsia="Calibri"/>
          <w:bCs/>
          <w:sz w:val="24"/>
          <w:lang w:eastAsia="en-US"/>
        </w:rPr>
        <w:t xml:space="preserve">Il primo obiettivo che va posto è quello del </w:t>
      </w:r>
      <w:r w:rsidRPr="00F22F33">
        <w:rPr>
          <w:rFonts w:eastAsia="Calibri"/>
          <w:b/>
          <w:sz w:val="24"/>
          <w:lang w:eastAsia="en-US"/>
        </w:rPr>
        <w:t>valore pubblico</w:t>
      </w:r>
      <w:r w:rsidRPr="00F22F33">
        <w:rPr>
          <w:rFonts w:eastAsia="Calibri"/>
          <w:bCs/>
          <w:sz w:val="24"/>
          <w:lang w:eastAsia="en-US"/>
        </w:rPr>
        <w:t xml:space="preserve"> secondo le indicazioni del DM 132/2022 (art. 3).</w:t>
      </w:r>
    </w:p>
    <w:p w14:paraId="0B4EF228" w14:textId="69E42B9E" w:rsidR="00B40B64" w:rsidRPr="00F22F33" w:rsidRDefault="00B40B64" w:rsidP="00B40B64">
      <w:pPr>
        <w:pStyle w:val="Corpotesto"/>
        <w:spacing w:before="120"/>
        <w:jc w:val="both"/>
        <w:rPr>
          <w:rFonts w:eastAsia="Calibri"/>
          <w:bCs/>
          <w:sz w:val="24"/>
          <w:lang w:eastAsia="en-US"/>
        </w:rPr>
      </w:pPr>
      <w:r w:rsidRPr="00F22F33">
        <w:rPr>
          <w:rFonts w:eastAsia="Calibri"/>
          <w:bCs/>
          <w:sz w:val="24"/>
          <w:lang w:eastAsia="en-US"/>
        </w:rPr>
        <w:t xml:space="preserve">Tale obiettivo generale va poi declinato in obiettivi strategici di prevenzione della corruzione e della trasparenza, previsti come contenuto obbligatorio dei PTPCT, e, quindi, anche della sezione anticorruzione e trasparenza del PIAO. </w:t>
      </w:r>
    </w:p>
    <w:p w14:paraId="0A14B54C" w14:textId="77777777" w:rsidR="00B40B64" w:rsidRPr="00F22F33" w:rsidRDefault="00B40B64" w:rsidP="00B40B64">
      <w:pPr>
        <w:pStyle w:val="Corpotesto"/>
        <w:spacing w:before="120"/>
        <w:jc w:val="both"/>
        <w:rPr>
          <w:rFonts w:eastAsia="Calibri"/>
          <w:bCs/>
          <w:color w:val="000000" w:themeColor="text1"/>
          <w:sz w:val="24"/>
          <w:lang w:eastAsia="en-US"/>
        </w:rPr>
      </w:pPr>
      <w:r w:rsidRPr="00F22F33">
        <w:rPr>
          <w:rFonts w:eastAsia="Calibri"/>
          <w:bCs/>
          <w:color w:val="000000" w:themeColor="text1"/>
          <w:sz w:val="24"/>
          <w:lang w:eastAsia="en-US"/>
        </w:rPr>
        <w:t xml:space="preserve">L’amministrazione ritiene che la trasparenza sostanziale dell’azione amministrativa sia la misura principale per contrastare i fenomeni corruttivi. </w:t>
      </w:r>
    </w:p>
    <w:p w14:paraId="00839AF9" w14:textId="77777777" w:rsidR="00B40B64" w:rsidRPr="00F22F33" w:rsidRDefault="00B40B64" w:rsidP="00B40B64">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Gli obiettivi strategici sono stati formulati coerentemente con la programmazione prevista nella sottosezione del PIAO dedicata alla performance. </w:t>
      </w:r>
    </w:p>
    <w:p w14:paraId="35B68D16" w14:textId="339627AD" w:rsidR="0074749B" w:rsidRPr="00F22F33" w:rsidRDefault="0074749B" w:rsidP="0074749B">
      <w:pPr>
        <w:spacing w:before="120" w:after="0" w:line="240" w:lineRule="auto"/>
        <w:jc w:val="both"/>
        <w:rPr>
          <w:rFonts w:ascii="Arial" w:hAnsi="Arial" w:cs="Arial"/>
          <w:bCs/>
          <w:color w:val="0F243E" w:themeColor="text2" w:themeShade="80"/>
          <w:sz w:val="24"/>
          <w:szCs w:val="24"/>
        </w:rPr>
      </w:pPr>
      <w:r w:rsidRPr="00F22F33">
        <w:rPr>
          <w:rFonts w:ascii="Arial" w:hAnsi="Arial" w:cs="Arial"/>
          <w:bCs/>
          <w:color w:val="0F243E" w:themeColor="text2" w:themeShade="80"/>
          <w:sz w:val="24"/>
          <w:szCs w:val="24"/>
        </w:rPr>
        <w:t>1) Coinvolgimento dell’organo di indirizzo politico-amministrativo:</w:t>
      </w:r>
    </w:p>
    <w:p w14:paraId="374F67D3" w14:textId="77777777" w:rsidR="0074749B" w:rsidRPr="00F22F33" w:rsidRDefault="0074749B" w:rsidP="0074749B">
      <w:pPr>
        <w:spacing w:before="120" w:after="0" w:line="240" w:lineRule="auto"/>
        <w:jc w:val="both"/>
        <w:rPr>
          <w:rFonts w:ascii="Arial" w:hAnsi="Arial" w:cs="Arial"/>
          <w:bCs/>
          <w:color w:val="0F243E" w:themeColor="text2" w:themeShade="80"/>
          <w:sz w:val="24"/>
          <w:szCs w:val="24"/>
        </w:rPr>
      </w:pPr>
      <w:r w:rsidRPr="00F22F33">
        <w:rPr>
          <w:rFonts w:ascii="Arial" w:hAnsi="Arial" w:cs="Arial"/>
          <w:bCs/>
          <w:color w:val="0F243E" w:themeColor="text2" w:themeShade="80"/>
          <w:sz w:val="24"/>
          <w:szCs w:val="24"/>
        </w:rPr>
        <w:t xml:space="preserve">l’organo di indirizzo politico amministrativo deve assumere un ruolo attivo nella definizione delle strategie di gestione del rischio corruttivo e contribuire allo svolgimento di un compito tanto importante quanto delicato, anche attraverso la creazione di un contesto istituzionale e organizzativo favorevole che sia di reale supporto al Responsabile della prevenzione della corruzione e per la trasparenza (RPCT). </w:t>
      </w:r>
    </w:p>
    <w:p w14:paraId="7C4ED387" w14:textId="77777777" w:rsidR="0074749B" w:rsidRPr="00F22F33" w:rsidRDefault="0074749B" w:rsidP="0074749B">
      <w:pPr>
        <w:spacing w:before="120" w:after="0" w:line="240" w:lineRule="auto"/>
        <w:jc w:val="both"/>
        <w:rPr>
          <w:rFonts w:ascii="Arial" w:hAnsi="Arial" w:cs="Arial"/>
          <w:bCs/>
          <w:color w:val="0F243E" w:themeColor="text2" w:themeShade="80"/>
          <w:sz w:val="24"/>
          <w:szCs w:val="24"/>
        </w:rPr>
      </w:pPr>
      <w:r w:rsidRPr="00F22F33">
        <w:rPr>
          <w:rFonts w:ascii="Arial" w:hAnsi="Arial" w:cs="Arial"/>
          <w:bCs/>
          <w:color w:val="0F243E" w:themeColor="text2" w:themeShade="80"/>
          <w:sz w:val="24"/>
          <w:szCs w:val="24"/>
        </w:rPr>
        <w:t xml:space="preserve">2) Cultura organizzativa diffusa di gestione del rischio: </w:t>
      </w:r>
    </w:p>
    <w:p w14:paraId="7715E5FD" w14:textId="77777777" w:rsidR="0074749B" w:rsidRPr="00F22F33" w:rsidRDefault="0074749B" w:rsidP="0074749B">
      <w:pPr>
        <w:spacing w:before="120" w:after="0" w:line="240" w:lineRule="auto"/>
        <w:jc w:val="both"/>
        <w:rPr>
          <w:rFonts w:ascii="Arial" w:hAnsi="Arial" w:cs="Arial"/>
          <w:bCs/>
          <w:color w:val="0F243E" w:themeColor="text2" w:themeShade="80"/>
          <w:sz w:val="24"/>
          <w:szCs w:val="24"/>
        </w:rPr>
      </w:pPr>
      <w:r w:rsidRPr="00F22F33">
        <w:rPr>
          <w:rFonts w:ascii="Arial" w:hAnsi="Arial" w:cs="Arial"/>
          <w:bCs/>
          <w:color w:val="0F243E" w:themeColor="text2" w:themeShade="80"/>
          <w:sz w:val="24"/>
          <w:szCs w:val="24"/>
        </w:rPr>
        <w:lastRenderedPageBreak/>
        <w:t xml:space="preserve">la gestione del rischio corruttivo non riguarda solo il RPCT ma l’intera struttura organizzativa. </w:t>
      </w:r>
    </w:p>
    <w:p w14:paraId="1E25162B" w14:textId="77777777" w:rsidR="0074749B" w:rsidRPr="00F22F33" w:rsidRDefault="0074749B" w:rsidP="0074749B">
      <w:pPr>
        <w:spacing w:before="120" w:after="0" w:line="240" w:lineRule="auto"/>
        <w:jc w:val="both"/>
        <w:rPr>
          <w:rFonts w:ascii="Arial" w:hAnsi="Arial" w:cs="Arial"/>
          <w:bCs/>
          <w:color w:val="0F243E" w:themeColor="text2" w:themeShade="80"/>
          <w:sz w:val="24"/>
          <w:szCs w:val="24"/>
        </w:rPr>
      </w:pPr>
      <w:r w:rsidRPr="00F22F33">
        <w:rPr>
          <w:rFonts w:ascii="Arial" w:hAnsi="Arial" w:cs="Arial"/>
          <w:bCs/>
          <w:color w:val="0F243E" w:themeColor="text2" w:themeShade="80"/>
          <w:sz w:val="24"/>
          <w:szCs w:val="24"/>
        </w:rPr>
        <w:t xml:space="preserve">A tal fine, occorre sviluppare a tutti i livelli organizzativi una responsabilizzazione diffusa e una cultura consapevole dell’importanza del processo di gestione del rischio e delle responsabilità correlate. L’efficacia del sistema dipende anche dalla piena e attiva collaborazione della dirigenza, del personale non dirigente e degli organi di valutazione e di controllo. </w:t>
      </w:r>
    </w:p>
    <w:p w14:paraId="0FD041D2" w14:textId="77777777" w:rsidR="0074749B" w:rsidRPr="00F22F33" w:rsidRDefault="0074749B" w:rsidP="0074749B">
      <w:pPr>
        <w:spacing w:before="120" w:after="0" w:line="240" w:lineRule="auto"/>
        <w:jc w:val="both"/>
        <w:rPr>
          <w:rFonts w:ascii="Arial" w:hAnsi="Arial" w:cs="Arial"/>
          <w:bCs/>
          <w:color w:val="0F243E" w:themeColor="text2" w:themeShade="80"/>
          <w:sz w:val="24"/>
          <w:szCs w:val="24"/>
        </w:rPr>
      </w:pPr>
      <w:r w:rsidRPr="00F22F33">
        <w:rPr>
          <w:rFonts w:ascii="Arial" w:hAnsi="Arial" w:cs="Arial"/>
          <w:bCs/>
          <w:color w:val="0F243E" w:themeColor="text2" w:themeShade="80"/>
          <w:sz w:val="24"/>
          <w:szCs w:val="24"/>
        </w:rPr>
        <w:t xml:space="preserve">3) Collaborazione tra amministrazioni: </w:t>
      </w:r>
    </w:p>
    <w:p w14:paraId="4379D2BB" w14:textId="77777777" w:rsidR="0074749B" w:rsidRPr="00F22F33" w:rsidRDefault="0074749B" w:rsidP="0074749B">
      <w:pPr>
        <w:spacing w:before="120" w:after="0" w:line="240" w:lineRule="auto"/>
        <w:jc w:val="both"/>
        <w:rPr>
          <w:rFonts w:ascii="Arial" w:hAnsi="Arial" w:cs="Arial"/>
          <w:bCs/>
          <w:color w:val="0F243E" w:themeColor="text2" w:themeShade="80"/>
          <w:sz w:val="24"/>
          <w:szCs w:val="24"/>
        </w:rPr>
      </w:pPr>
      <w:r w:rsidRPr="00F22F33">
        <w:rPr>
          <w:rFonts w:ascii="Arial" w:hAnsi="Arial" w:cs="Arial"/>
          <w:bCs/>
          <w:color w:val="0F243E" w:themeColor="text2" w:themeShade="80"/>
          <w:sz w:val="24"/>
          <w:szCs w:val="24"/>
        </w:rPr>
        <w:t xml:space="preserve">la collaborazione tra pubbliche amministrazioni che operano nello stesso comparto o nello stesso territorio può favorire la sostenibilità economica e organizzativa del processo di gestione del rischio, anche tramite la condivisione di metodologie, di esperienze, di sistemi informativi e di risorse. Occorre comunque evitare la trasposizione “acritica” di strumenti senza una preventiva valutazione delle specificità del contesto. </w:t>
      </w:r>
    </w:p>
    <w:p w14:paraId="04017E29" w14:textId="659DEC87" w:rsidR="00B40B64" w:rsidRPr="00F22F33" w:rsidRDefault="00B40B64" w:rsidP="008A1DC5">
      <w:pPr>
        <w:pStyle w:val="Paragrafoelenco1"/>
        <w:ind w:left="0"/>
        <w:jc w:val="both"/>
        <w:rPr>
          <w:rFonts w:ascii="Arial" w:hAnsi="Arial" w:cs="Arial"/>
          <w:color w:val="000000" w:themeColor="text1"/>
          <w:sz w:val="24"/>
          <w:szCs w:val="24"/>
        </w:rPr>
      </w:pPr>
    </w:p>
    <w:p w14:paraId="7687D2D4" w14:textId="52E14319" w:rsidR="00B40B64" w:rsidRPr="00F22F33" w:rsidRDefault="00B40B64" w:rsidP="008A1DC5">
      <w:pPr>
        <w:pStyle w:val="Paragrafoelenco1"/>
        <w:ind w:left="0"/>
        <w:jc w:val="both"/>
        <w:rPr>
          <w:rFonts w:ascii="Arial" w:hAnsi="Arial" w:cs="Arial"/>
          <w:color w:val="000000" w:themeColor="text1"/>
          <w:sz w:val="24"/>
          <w:szCs w:val="24"/>
        </w:rPr>
      </w:pPr>
    </w:p>
    <w:p w14:paraId="47E72F2E" w14:textId="77777777" w:rsidR="009B159C" w:rsidRPr="00F22F33" w:rsidRDefault="009B159C" w:rsidP="009B159C">
      <w:pPr>
        <w:pStyle w:val="TitoloB"/>
        <w:keepNext/>
        <w:widowControl w:val="0"/>
        <w:numPr>
          <w:ilvl w:val="0"/>
          <w:numId w:val="24"/>
        </w:numPr>
        <w:spacing w:before="120" w:after="0" w:line="240" w:lineRule="auto"/>
        <w:ind w:right="0"/>
        <w:jc w:val="both"/>
        <w:outlineLvl w:val="1"/>
        <w:rPr>
          <w:sz w:val="24"/>
          <w:szCs w:val="24"/>
        </w:rPr>
      </w:pPr>
      <w:bookmarkStart w:id="46" w:name="_Toc87523793"/>
      <w:bookmarkStart w:id="47" w:name="_Toc97543227"/>
      <w:bookmarkStart w:id="48" w:name="_Toc131582810"/>
      <w:bookmarkStart w:id="49" w:name="_Toc131582919"/>
      <w:bookmarkStart w:id="50" w:name="_Toc131583538"/>
      <w:r w:rsidRPr="00F22F33">
        <w:rPr>
          <w:sz w:val="24"/>
          <w:szCs w:val="24"/>
        </w:rPr>
        <w:t>L’analisi del contesto</w:t>
      </w:r>
      <w:bookmarkEnd w:id="46"/>
      <w:bookmarkEnd w:id="47"/>
      <w:bookmarkEnd w:id="48"/>
      <w:bookmarkEnd w:id="49"/>
      <w:bookmarkEnd w:id="50"/>
      <w:r w:rsidRPr="00F22F33">
        <w:rPr>
          <w:sz w:val="24"/>
          <w:szCs w:val="24"/>
        </w:rPr>
        <w:t xml:space="preserve"> </w:t>
      </w:r>
    </w:p>
    <w:p w14:paraId="0B09D18E" w14:textId="77777777" w:rsidR="009B159C" w:rsidRPr="00F22F33" w:rsidRDefault="009B159C" w:rsidP="009B159C">
      <w:pPr>
        <w:pStyle w:val="TitoloB"/>
        <w:keepNext/>
        <w:widowControl w:val="0"/>
        <w:numPr>
          <w:ilvl w:val="1"/>
          <w:numId w:val="24"/>
        </w:numPr>
        <w:spacing w:before="120" w:after="0" w:line="240" w:lineRule="auto"/>
        <w:ind w:right="0"/>
        <w:jc w:val="both"/>
        <w:outlineLvl w:val="1"/>
        <w:rPr>
          <w:sz w:val="24"/>
          <w:szCs w:val="24"/>
        </w:rPr>
      </w:pPr>
      <w:bookmarkStart w:id="51" w:name="_Toc87523794"/>
      <w:bookmarkStart w:id="52" w:name="_Toc97543228"/>
      <w:bookmarkStart w:id="53" w:name="_Toc131582811"/>
      <w:bookmarkStart w:id="54" w:name="_Toc131582920"/>
      <w:bookmarkStart w:id="55" w:name="_Toc131583539"/>
      <w:r w:rsidRPr="00F22F33">
        <w:rPr>
          <w:sz w:val="24"/>
          <w:szCs w:val="24"/>
        </w:rPr>
        <w:t>L’analisi del contesto esterno</w:t>
      </w:r>
      <w:bookmarkEnd w:id="51"/>
      <w:bookmarkEnd w:id="52"/>
      <w:bookmarkEnd w:id="53"/>
      <w:bookmarkEnd w:id="54"/>
      <w:bookmarkEnd w:id="55"/>
    </w:p>
    <w:p w14:paraId="12B8DFE6" w14:textId="77777777" w:rsidR="009B159C" w:rsidRPr="00F22F33" w:rsidRDefault="009B159C" w:rsidP="009B159C">
      <w:pPr>
        <w:spacing w:before="120" w:after="0" w:line="240" w:lineRule="auto"/>
        <w:jc w:val="both"/>
        <w:rPr>
          <w:rFonts w:ascii="Arial" w:hAnsi="Arial" w:cs="Arial"/>
          <w:bCs/>
          <w:sz w:val="24"/>
          <w:szCs w:val="24"/>
        </w:rPr>
      </w:pPr>
      <w:r w:rsidRPr="00F22F33">
        <w:rPr>
          <w:rFonts w:ascii="Arial" w:hAnsi="Arial" w:cs="Arial"/>
          <w:bCs/>
          <w:sz w:val="24"/>
          <w:szCs w:val="24"/>
        </w:rPr>
        <w:t xml:space="preserve">Attraverso l’analisi del contesto, si acquisiscono le informazioni necessarie ad identificare i rischi corruttivi che lo caratterizzano, in relazione sia alle caratteristiche dell’ambiente in cui si opera (contesto esterno), sia alla propria organizzazione ed attività (contesto interno).  </w:t>
      </w:r>
    </w:p>
    <w:p w14:paraId="59722D94" w14:textId="77777777" w:rsidR="009B159C" w:rsidRPr="00F22F33" w:rsidRDefault="009B159C" w:rsidP="009B159C">
      <w:pPr>
        <w:spacing w:before="120" w:after="0" w:line="240" w:lineRule="auto"/>
        <w:jc w:val="both"/>
        <w:rPr>
          <w:rFonts w:ascii="Arial" w:hAnsi="Arial" w:cs="Arial"/>
          <w:bCs/>
          <w:sz w:val="24"/>
          <w:szCs w:val="24"/>
        </w:rPr>
      </w:pPr>
      <w:r w:rsidRPr="00F22F33">
        <w:rPr>
          <w:rFonts w:ascii="Arial" w:hAnsi="Arial" w:cs="Arial"/>
          <w:bCs/>
          <w:sz w:val="24"/>
          <w:szCs w:val="24"/>
        </w:rPr>
        <w:t>L’analisi del contesto esterno reca l’individuazione e la descrizione delle caratteristiche culturali, sociali ed economiche del territorio, ovvero del settore specifico di intervento e di come queste ultime – così come le relazioni esistenti con gli stakeholders – possano condizionare impropriamente l’attività dell’amministrazione. Da tale analisi deve emergere la valutazione di impatto del contesto esterno in termini di esposizione al rischio corruttivo.</w:t>
      </w:r>
    </w:p>
    <w:p w14:paraId="46C81DD0" w14:textId="77777777" w:rsidR="009B159C" w:rsidRPr="00F22F33" w:rsidRDefault="009B159C" w:rsidP="009B159C">
      <w:pPr>
        <w:pStyle w:val="Corpotesto"/>
        <w:spacing w:before="120"/>
        <w:jc w:val="both"/>
        <w:rPr>
          <w:bCs/>
          <w:i/>
          <w:color w:val="FF0000"/>
          <w:sz w:val="24"/>
        </w:rPr>
      </w:pPr>
    </w:p>
    <w:p w14:paraId="062C808B" w14:textId="77777777" w:rsidR="009B159C" w:rsidRPr="00F22F33" w:rsidRDefault="009B159C" w:rsidP="009B159C">
      <w:pPr>
        <w:pStyle w:val="TitoloB"/>
        <w:keepNext/>
        <w:widowControl w:val="0"/>
        <w:numPr>
          <w:ilvl w:val="1"/>
          <w:numId w:val="24"/>
        </w:numPr>
        <w:spacing w:before="120" w:after="0" w:line="240" w:lineRule="auto"/>
        <w:ind w:right="0"/>
        <w:jc w:val="both"/>
        <w:outlineLvl w:val="1"/>
        <w:rPr>
          <w:sz w:val="24"/>
          <w:szCs w:val="24"/>
        </w:rPr>
      </w:pPr>
      <w:bookmarkStart w:id="56" w:name="_Toc87523795"/>
      <w:bookmarkStart w:id="57" w:name="_Toc97543229"/>
      <w:bookmarkStart w:id="58" w:name="_Toc131582812"/>
      <w:bookmarkStart w:id="59" w:name="_Toc131582921"/>
      <w:bookmarkStart w:id="60" w:name="_Toc131583540"/>
      <w:r w:rsidRPr="00F22F33">
        <w:rPr>
          <w:sz w:val="24"/>
          <w:szCs w:val="24"/>
        </w:rPr>
        <w:t>L’analisi del contesto interno</w:t>
      </w:r>
      <w:bookmarkEnd w:id="56"/>
      <w:bookmarkEnd w:id="57"/>
      <w:bookmarkEnd w:id="58"/>
      <w:bookmarkEnd w:id="59"/>
      <w:bookmarkEnd w:id="60"/>
    </w:p>
    <w:p w14:paraId="744C0F03" w14:textId="77777777" w:rsidR="009B159C" w:rsidRPr="00F22F33" w:rsidRDefault="009B159C" w:rsidP="009B159C">
      <w:pPr>
        <w:spacing w:before="120" w:after="0" w:line="240" w:lineRule="auto"/>
        <w:jc w:val="both"/>
        <w:rPr>
          <w:rFonts w:ascii="Arial" w:hAnsi="Arial" w:cs="Arial"/>
          <w:bCs/>
          <w:sz w:val="24"/>
          <w:szCs w:val="24"/>
        </w:rPr>
      </w:pPr>
      <w:r w:rsidRPr="00F22F33">
        <w:rPr>
          <w:rFonts w:ascii="Arial" w:hAnsi="Arial" w:cs="Arial"/>
          <w:bCs/>
          <w:sz w:val="24"/>
          <w:szCs w:val="24"/>
        </w:rPr>
        <w:t>L’analisi del contesto interno riguarda, da una parte, la struttura organizzativa e, dall’altra parte, la mappatura dei processi, che rappresenta l’aspetto centrale e più importante finalizzato ad una corretta valutazione del rischio.</w:t>
      </w:r>
    </w:p>
    <w:p w14:paraId="24E8E0F9" w14:textId="77777777" w:rsidR="009B159C" w:rsidRPr="00F22F33" w:rsidRDefault="009B159C" w:rsidP="009B159C">
      <w:pPr>
        <w:spacing w:before="120" w:after="0" w:line="240" w:lineRule="auto"/>
        <w:jc w:val="both"/>
        <w:rPr>
          <w:rFonts w:ascii="Arial" w:hAnsi="Arial" w:cs="Arial"/>
          <w:b/>
          <w:color w:val="002060"/>
          <w:sz w:val="24"/>
          <w:szCs w:val="24"/>
        </w:rPr>
      </w:pPr>
    </w:p>
    <w:p w14:paraId="150B861A" w14:textId="77777777" w:rsidR="009B159C" w:rsidRPr="00F22F33" w:rsidRDefault="009B159C" w:rsidP="009B159C">
      <w:pPr>
        <w:pStyle w:val="TitoloB"/>
        <w:keepNext/>
        <w:widowControl w:val="0"/>
        <w:numPr>
          <w:ilvl w:val="2"/>
          <w:numId w:val="24"/>
        </w:numPr>
        <w:spacing w:before="120" w:after="0" w:line="240" w:lineRule="auto"/>
        <w:ind w:right="0"/>
        <w:jc w:val="both"/>
        <w:outlineLvl w:val="1"/>
        <w:rPr>
          <w:sz w:val="24"/>
          <w:szCs w:val="24"/>
        </w:rPr>
      </w:pPr>
      <w:bookmarkStart w:id="61" w:name="_Toc87523796"/>
      <w:bookmarkStart w:id="62" w:name="_Toc97543230"/>
      <w:bookmarkStart w:id="63" w:name="_Toc131582813"/>
      <w:bookmarkStart w:id="64" w:name="_Toc131582922"/>
      <w:bookmarkStart w:id="65" w:name="_Toc131583541"/>
      <w:r w:rsidRPr="00F22F33">
        <w:rPr>
          <w:sz w:val="24"/>
          <w:szCs w:val="24"/>
        </w:rPr>
        <w:t>La struttura organizzativa</w:t>
      </w:r>
      <w:bookmarkEnd w:id="61"/>
      <w:bookmarkEnd w:id="62"/>
      <w:bookmarkEnd w:id="63"/>
      <w:bookmarkEnd w:id="64"/>
      <w:bookmarkEnd w:id="65"/>
    </w:p>
    <w:p w14:paraId="76245E85" w14:textId="77777777" w:rsidR="009B159C" w:rsidRPr="00F22F33" w:rsidRDefault="009B159C" w:rsidP="009B159C">
      <w:pPr>
        <w:pStyle w:val="Corpotesto"/>
        <w:spacing w:before="120"/>
        <w:jc w:val="both"/>
        <w:rPr>
          <w:bCs/>
          <w:iCs/>
          <w:color w:val="000000" w:themeColor="text1"/>
          <w:sz w:val="24"/>
        </w:rPr>
      </w:pPr>
      <w:r w:rsidRPr="00F22F33">
        <w:rPr>
          <w:bCs/>
          <w:iCs/>
          <w:color w:val="000000" w:themeColor="text1"/>
          <w:sz w:val="24"/>
        </w:rPr>
        <w:t xml:space="preserve">La struttura organizzativa viene analizzata e descritta nella parte del PIAO dedicata all’organizzazione / alla performance. Si rinvia a tale sezione. </w:t>
      </w:r>
    </w:p>
    <w:p w14:paraId="1764C3CF" w14:textId="0E3C23AB" w:rsidR="009B159C" w:rsidRPr="00F22F33" w:rsidRDefault="009B159C" w:rsidP="009B159C">
      <w:pPr>
        <w:pStyle w:val="Corpotesto"/>
        <w:spacing w:before="120"/>
        <w:jc w:val="both"/>
        <w:rPr>
          <w:bCs/>
          <w:iCs/>
          <w:color w:val="000000" w:themeColor="text1"/>
          <w:sz w:val="24"/>
        </w:rPr>
      </w:pPr>
      <w:r w:rsidRPr="00F22F33">
        <w:rPr>
          <w:bCs/>
          <w:iCs/>
          <w:color w:val="000000" w:themeColor="text1"/>
          <w:sz w:val="24"/>
        </w:rPr>
        <w:t xml:space="preserve">La struttura organizzativa dell’ente è stata definita con la deliberazione della giunta comunale n. 52 del </w:t>
      </w:r>
      <w:r w:rsidR="00964184" w:rsidRPr="00F22F33">
        <w:rPr>
          <w:bCs/>
          <w:iCs/>
          <w:color w:val="000000" w:themeColor="text1"/>
          <w:sz w:val="24"/>
        </w:rPr>
        <w:t>19.05.2022</w:t>
      </w:r>
      <w:r w:rsidRPr="00F22F33">
        <w:rPr>
          <w:bCs/>
          <w:iCs/>
          <w:color w:val="000000" w:themeColor="text1"/>
          <w:sz w:val="24"/>
        </w:rPr>
        <w:t xml:space="preserve">. </w:t>
      </w:r>
    </w:p>
    <w:p w14:paraId="0FB88E08" w14:textId="59419DD1" w:rsidR="009B159C" w:rsidRPr="00F22F33" w:rsidRDefault="009B159C" w:rsidP="009B159C">
      <w:pPr>
        <w:pStyle w:val="Corpotesto"/>
        <w:spacing w:before="120"/>
        <w:jc w:val="both"/>
        <w:rPr>
          <w:bCs/>
          <w:iCs/>
          <w:color w:val="000000" w:themeColor="text1"/>
          <w:sz w:val="24"/>
        </w:rPr>
      </w:pPr>
      <w:r w:rsidRPr="00F22F33">
        <w:rPr>
          <w:bCs/>
          <w:iCs/>
          <w:color w:val="000000" w:themeColor="text1"/>
          <w:sz w:val="24"/>
        </w:rPr>
        <w:lastRenderedPageBreak/>
        <w:t xml:space="preserve">La struttura è ripartita in </w:t>
      </w:r>
      <w:proofErr w:type="gramStart"/>
      <w:r w:rsidRPr="00F22F33">
        <w:rPr>
          <w:bCs/>
          <w:iCs/>
          <w:color w:val="000000" w:themeColor="text1"/>
          <w:sz w:val="24"/>
        </w:rPr>
        <w:t>4</w:t>
      </w:r>
      <w:proofErr w:type="gramEnd"/>
      <w:r w:rsidRPr="00F22F33">
        <w:rPr>
          <w:bCs/>
          <w:iCs/>
          <w:color w:val="000000" w:themeColor="text1"/>
          <w:sz w:val="24"/>
        </w:rPr>
        <w:t xml:space="preserve"> Settori. Ciascun Settore è organizzato in Uffici. </w:t>
      </w:r>
    </w:p>
    <w:p w14:paraId="362D745E" w14:textId="46975530" w:rsidR="009B159C" w:rsidRPr="00F22F33" w:rsidRDefault="009B159C" w:rsidP="009B159C">
      <w:pPr>
        <w:pStyle w:val="Corpotesto"/>
        <w:spacing w:before="120"/>
        <w:jc w:val="both"/>
        <w:rPr>
          <w:bCs/>
          <w:iCs/>
          <w:color w:val="000000" w:themeColor="text1"/>
          <w:sz w:val="24"/>
        </w:rPr>
      </w:pPr>
      <w:r w:rsidRPr="00F22F33">
        <w:rPr>
          <w:bCs/>
          <w:iCs/>
          <w:color w:val="000000" w:themeColor="text1"/>
          <w:sz w:val="24"/>
        </w:rPr>
        <w:t xml:space="preserve">Al vertice di ciascuna </w:t>
      </w:r>
      <w:proofErr w:type="gramStart"/>
      <w:r w:rsidRPr="00F22F33">
        <w:rPr>
          <w:bCs/>
          <w:iCs/>
          <w:color w:val="000000" w:themeColor="text1"/>
          <w:sz w:val="24"/>
        </w:rPr>
        <w:t>Settore</w:t>
      </w:r>
      <w:r w:rsidR="00964184" w:rsidRPr="00F22F33">
        <w:rPr>
          <w:bCs/>
          <w:iCs/>
          <w:color w:val="000000" w:themeColor="text1"/>
          <w:sz w:val="24"/>
        </w:rPr>
        <w:t xml:space="preserve"> </w:t>
      </w:r>
      <w:r w:rsidRPr="00F22F33">
        <w:rPr>
          <w:bCs/>
          <w:iCs/>
          <w:color w:val="000000" w:themeColor="text1"/>
          <w:sz w:val="24"/>
        </w:rPr>
        <w:t xml:space="preserve"> è</w:t>
      </w:r>
      <w:proofErr w:type="gramEnd"/>
      <w:r w:rsidRPr="00F22F33">
        <w:rPr>
          <w:bCs/>
          <w:iCs/>
          <w:color w:val="000000" w:themeColor="text1"/>
          <w:sz w:val="24"/>
        </w:rPr>
        <w:t xml:space="preserve"> posto un </w:t>
      </w:r>
      <w:r w:rsidR="00964184" w:rsidRPr="00F22F33">
        <w:rPr>
          <w:bCs/>
          <w:iCs/>
          <w:color w:val="000000" w:themeColor="text1"/>
          <w:sz w:val="24"/>
        </w:rPr>
        <w:t xml:space="preserve">Responsabile </w:t>
      </w:r>
      <w:r w:rsidRPr="00F22F33">
        <w:rPr>
          <w:bCs/>
          <w:iCs/>
          <w:color w:val="000000" w:themeColor="text1"/>
          <w:sz w:val="24"/>
        </w:rPr>
        <w:t xml:space="preserve"> di categoria D, titolare di posizione organizzativa. </w:t>
      </w:r>
    </w:p>
    <w:p w14:paraId="50884439" w14:textId="4E8CE7DA" w:rsidR="009B159C" w:rsidRPr="00F22F33" w:rsidRDefault="00964184" w:rsidP="009B159C">
      <w:pPr>
        <w:pStyle w:val="Corpotesto"/>
        <w:spacing w:before="120"/>
        <w:jc w:val="both"/>
        <w:rPr>
          <w:bCs/>
          <w:iCs/>
          <w:color w:val="FF0000"/>
          <w:sz w:val="24"/>
        </w:rPr>
      </w:pPr>
      <w:r w:rsidRPr="00F22F33">
        <w:rPr>
          <w:bCs/>
          <w:iCs/>
          <w:color w:val="000000" w:themeColor="text1"/>
          <w:sz w:val="24"/>
        </w:rPr>
        <w:t xml:space="preserve"> </w:t>
      </w:r>
      <w:r w:rsidR="009B159C" w:rsidRPr="00F22F33">
        <w:rPr>
          <w:bCs/>
          <w:iCs/>
          <w:color w:val="000000" w:themeColor="text1"/>
          <w:sz w:val="24"/>
        </w:rPr>
        <w:t>La struttura organizzativa è chiamata a svolgere tutti i compiti e le funzioni che l’ordinamento attribuisce a questo</w:t>
      </w:r>
      <w:r w:rsidR="009B159C" w:rsidRPr="00F22F33">
        <w:rPr>
          <w:bCs/>
          <w:iCs/>
          <w:color w:val="FF0000"/>
          <w:sz w:val="24"/>
        </w:rPr>
        <w:t xml:space="preserve">.  </w:t>
      </w:r>
    </w:p>
    <w:p w14:paraId="16AE1CBF" w14:textId="77777777" w:rsidR="009B159C" w:rsidRPr="00F22F33" w:rsidRDefault="009B159C" w:rsidP="009B159C">
      <w:pPr>
        <w:pStyle w:val="Corpotesto"/>
        <w:spacing w:before="120"/>
        <w:jc w:val="both"/>
        <w:rPr>
          <w:bCs/>
          <w:iCs/>
          <w:color w:val="FF0000"/>
          <w:sz w:val="24"/>
        </w:rPr>
      </w:pPr>
      <w:r w:rsidRPr="00F22F33">
        <w:rPr>
          <w:bCs/>
          <w:iCs/>
          <w:color w:val="000000" w:themeColor="text1"/>
          <w:sz w:val="24"/>
        </w:rPr>
        <w:t xml:space="preserve">In primo luogo, a norma dell’art. 13 del d.lgs. 267/2000 e </w:t>
      </w:r>
      <w:proofErr w:type="spellStart"/>
      <w:r w:rsidRPr="00F22F33">
        <w:rPr>
          <w:bCs/>
          <w:iCs/>
          <w:color w:val="000000" w:themeColor="text1"/>
          <w:sz w:val="24"/>
        </w:rPr>
        <w:t>smi</w:t>
      </w:r>
      <w:proofErr w:type="spellEnd"/>
      <w:r w:rsidRPr="00F22F33">
        <w:rPr>
          <w:bCs/>
          <w:iCs/>
          <w:color w:val="000000" w:themeColor="text1"/>
          <w:sz w:val="24"/>
        </w:rPr>
        <w:t xml:space="preserve"> (il Testo unico delle leggi sull’ordinamento degli enti locali - TUEL), spettano al comune tutte le funzioni amministrative che riguardano la popolazione ed il territorio comunale,</w:t>
      </w:r>
      <w:r w:rsidRPr="00F22F33">
        <w:rPr>
          <w:bCs/>
          <w:iCs/>
          <w:color w:val="FF0000"/>
          <w:sz w:val="24"/>
        </w:rPr>
        <w:t xml:space="preserve"> precipuamente nei settori organici: </w:t>
      </w:r>
    </w:p>
    <w:p w14:paraId="30917D4A" w14:textId="77777777" w:rsidR="009B159C" w:rsidRPr="00F22F33" w:rsidRDefault="009B159C" w:rsidP="009B159C">
      <w:pPr>
        <w:pStyle w:val="Corpotesto"/>
        <w:spacing w:before="120"/>
        <w:jc w:val="both"/>
        <w:rPr>
          <w:bCs/>
          <w:iCs/>
          <w:color w:val="FF0000"/>
          <w:sz w:val="24"/>
        </w:rPr>
      </w:pPr>
      <w:r w:rsidRPr="00F22F33">
        <w:rPr>
          <w:bCs/>
          <w:iCs/>
          <w:color w:val="FF0000"/>
          <w:sz w:val="24"/>
        </w:rPr>
        <w:t xml:space="preserve">dei servizi alla persona e alla comunità; </w:t>
      </w:r>
    </w:p>
    <w:p w14:paraId="588058AC" w14:textId="77777777" w:rsidR="009B159C" w:rsidRPr="00F22F33" w:rsidRDefault="009B159C" w:rsidP="009B159C">
      <w:pPr>
        <w:pStyle w:val="Corpotesto"/>
        <w:spacing w:before="120"/>
        <w:jc w:val="both"/>
        <w:rPr>
          <w:bCs/>
          <w:iCs/>
          <w:color w:val="FF0000"/>
          <w:sz w:val="24"/>
        </w:rPr>
      </w:pPr>
      <w:r w:rsidRPr="00F22F33">
        <w:rPr>
          <w:bCs/>
          <w:iCs/>
          <w:color w:val="FF0000"/>
          <w:sz w:val="24"/>
        </w:rPr>
        <w:t xml:space="preserve">dell'assetto ed utilizzazione del territorio; </w:t>
      </w:r>
    </w:p>
    <w:p w14:paraId="4ED6A1B0" w14:textId="77777777" w:rsidR="009B159C" w:rsidRPr="00F22F33" w:rsidRDefault="009B159C" w:rsidP="009B159C">
      <w:pPr>
        <w:pStyle w:val="Corpotesto"/>
        <w:spacing w:before="120"/>
        <w:jc w:val="both"/>
        <w:rPr>
          <w:bCs/>
          <w:iCs/>
          <w:color w:val="FF0000"/>
          <w:sz w:val="24"/>
        </w:rPr>
      </w:pPr>
      <w:r w:rsidRPr="00F22F33">
        <w:rPr>
          <w:bCs/>
          <w:iCs/>
          <w:color w:val="FF0000"/>
          <w:sz w:val="24"/>
        </w:rPr>
        <w:t xml:space="preserve">dello sviluppo economico; </w:t>
      </w:r>
    </w:p>
    <w:p w14:paraId="1B05C9A9" w14:textId="77777777" w:rsidR="009B159C" w:rsidRPr="00F22F33" w:rsidRDefault="009B159C" w:rsidP="009B159C">
      <w:pPr>
        <w:pStyle w:val="Corpotesto"/>
        <w:spacing w:before="120"/>
        <w:jc w:val="both"/>
        <w:rPr>
          <w:bCs/>
          <w:iCs/>
          <w:color w:val="FF0000"/>
          <w:sz w:val="24"/>
        </w:rPr>
      </w:pPr>
      <w:r w:rsidRPr="00F22F33">
        <w:rPr>
          <w:bCs/>
          <w:iCs/>
          <w:color w:val="FF0000"/>
          <w:sz w:val="24"/>
        </w:rPr>
        <w:t>salvo quanto non sia espressamente attribuito ad altri soggetti dalla legge statale o regionale, secondo le rispettive competenze.</w:t>
      </w:r>
    </w:p>
    <w:p w14:paraId="48162160" w14:textId="77777777" w:rsidR="009B159C" w:rsidRPr="00F22F33" w:rsidRDefault="009B159C" w:rsidP="009B159C">
      <w:pPr>
        <w:pStyle w:val="Corpotesto"/>
        <w:spacing w:before="120"/>
        <w:jc w:val="both"/>
        <w:rPr>
          <w:bCs/>
          <w:iCs/>
          <w:color w:val="FF0000"/>
          <w:sz w:val="24"/>
        </w:rPr>
      </w:pPr>
      <w:r w:rsidRPr="00F22F33">
        <w:rPr>
          <w:bCs/>
          <w:iCs/>
          <w:color w:val="FF0000"/>
          <w:sz w:val="24"/>
        </w:rPr>
        <w:t xml:space="preserve">Inoltre, l’art. 14 del medesimo TUEL, attribuisce al comune la gestione dei servizi, di competenza statale, elettorali, di stato civile, di anagrafe, di leva militare e di statistica. Le relative funzioni sono esercitate dal sindaco quale “Ufficiale del Governo”. </w:t>
      </w:r>
    </w:p>
    <w:p w14:paraId="140B3692" w14:textId="77777777" w:rsidR="009B159C" w:rsidRPr="00F22F33" w:rsidRDefault="009B159C" w:rsidP="009B159C">
      <w:pPr>
        <w:pStyle w:val="Corpotesto"/>
        <w:spacing w:before="120"/>
        <w:jc w:val="both"/>
        <w:rPr>
          <w:bCs/>
          <w:iCs/>
          <w:color w:val="FF0000"/>
          <w:sz w:val="24"/>
        </w:rPr>
      </w:pPr>
      <w:r w:rsidRPr="00F22F33">
        <w:rPr>
          <w:bCs/>
          <w:iCs/>
          <w:color w:val="FF0000"/>
          <w:sz w:val="24"/>
        </w:rPr>
        <w:t>Il comma 27 dell’art. 14 del DL 78/2010 (convertito con modificazioni dalla legge 122/2010), infine, elenca le “funzioni fondamentali”. Sono funzioni fondamentali dei comuni, ai sensi dell'articolo 117, comma 2, lettera p), della Costituzione:</w:t>
      </w:r>
    </w:p>
    <w:p w14:paraId="0D393896" w14:textId="77777777" w:rsidR="009B159C" w:rsidRPr="00F22F33" w:rsidRDefault="009B159C" w:rsidP="009B159C">
      <w:pPr>
        <w:pStyle w:val="Corpotesto"/>
        <w:spacing w:before="120"/>
        <w:jc w:val="both"/>
        <w:rPr>
          <w:bCs/>
          <w:iCs/>
          <w:color w:val="FF0000"/>
          <w:sz w:val="24"/>
        </w:rPr>
      </w:pPr>
      <w:r w:rsidRPr="00F22F33">
        <w:rPr>
          <w:bCs/>
          <w:iCs/>
          <w:color w:val="FF0000"/>
          <w:sz w:val="24"/>
        </w:rPr>
        <w:t>a)  organizzazione generale dell'amministrazione, gestione finanziaria e contabile e controllo;</w:t>
      </w:r>
    </w:p>
    <w:p w14:paraId="673C9926" w14:textId="77777777" w:rsidR="009B159C" w:rsidRPr="00F22F33" w:rsidRDefault="009B159C" w:rsidP="009B159C">
      <w:pPr>
        <w:pStyle w:val="Corpotesto"/>
        <w:spacing w:before="120"/>
        <w:jc w:val="both"/>
        <w:rPr>
          <w:bCs/>
          <w:iCs/>
          <w:color w:val="FF0000"/>
          <w:sz w:val="24"/>
        </w:rPr>
      </w:pPr>
      <w:r w:rsidRPr="00F22F33">
        <w:rPr>
          <w:bCs/>
          <w:iCs/>
          <w:color w:val="FF0000"/>
          <w:sz w:val="24"/>
        </w:rPr>
        <w:t>b)  organizzazione dei servizi pubblici di interesse generale di ambito comunale, ivi compresi i servizi di trasporto pubblico comunale;</w:t>
      </w:r>
    </w:p>
    <w:p w14:paraId="1ACC2BA9" w14:textId="77777777" w:rsidR="009B159C" w:rsidRPr="00F22F33" w:rsidRDefault="009B159C" w:rsidP="009B159C">
      <w:pPr>
        <w:pStyle w:val="Corpotesto"/>
        <w:spacing w:before="120"/>
        <w:jc w:val="both"/>
        <w:rPr>
          <w:bCs/>
          <w:iCs/>
          <w:color w:val="FF0000"/>
          <w:sz w:val="24"/>
        </w:rPr>
      </w:pPr>
      <w:r w:rsidRPr="00F22F33">
        <w:rPr>
          <w:bCs/>
          <w:iCs/>
          <w:color w:val="FF0000"/>
          <w:sz w:val="24"/>
        </w:rPr>
        <w:t>c)  catasto, ad eccezione delle funzioni mantenute allo Stato dalla normativa vigente;</w:t>
      </w:r>
    </w:p>
    <w:p w14:paraId="25B3B89B" w14:textId="77777777" w:rsidR="009B159C" w:rsidRPr="00F22F33" w:rsidRDefault="009B159C" w:rsidP="009B159C">
      <w:pPr>
        <w:pStyle w:val="Corpotesto"/>
        <w:spacing w:before="120"/>
        <w:jc w:val="both"/>
        <w:rPr>
          <w:bCs/>
          <w:iCs/>
          <w:color w:val="FF0000"/>
          <w:sz w:val="24"/>
        </w:rPr>
      </w:pPr>
      <w:r w:rsidRPr="00F22F33">
        <w:rPr>
          <w:bCs/>
          <w:iCs/>
          <w:color w:val="FF0000"/>
          <w:sz w:val="24"/>
        </w:rPr>
        <w:t xml:space="preserve">d)  la pianificazione urbanistica </w:t>
      </w:r>
      <w:proofErr w:type="gramStart"/>
      <w:r w:rsidRPr="00F22F33">
        <w:rPr>
          <w:bCs/>
          <w:iCs/>
          <w:color w:val="FF0000"/>
          <w:sz w:val="24"/>
        </w:rPr>
        <w:t>ed</w:t>
      </w:r>
      <w:proofErr w:type="gramEnd"/>
      <w:r w:rsidRPr="00F22F33">
        <w:rPr>
          <w:bCs/>
          <w:iCs/>
          <w:color w:val="FF0000"/>
          <w:sz w:val="24"/>
        </w:rPr>
        <w:t xml:space="preserve"> edilizia di ambito comunale nonché la partecipazione alla pianificazione territoriale di livello sovracomunale;</w:t>
      </w:r>
    </w:p>
    <w:p w14:paraId="7ABDCD59" w14:textId="77777777" w:rsidR="009B159C" w:rsidRPr="00F22F33" w:rsidRDefault="009B159C" w:rsidP="009B159C">
      <w:pPr>
        <w:pStyle w:val="Corpotesto"/>
        <w:spacing w:before="120"/>
        <w:jc w:val="both"/>
        <w:rPr>
          <w:bCs/>
          <w:iCs/>
          <w:color w:val="FF0000"/>
          <w:sz w:val="24"/>
        </w:rPr>
      </w:pPr>
      <w:r w:rsidRPr="00F22F33">
        <w:rPr>
          <w:bCs/>
          <w:iCs/>
          <w:color w:val="FF0000"/>
          <w:sz w:val="24"/>
        </w:rPr>
        <w:t>e)  attività, in ambito comunale, di pianificazione di protezione civile e di coordinamento dei primi soccorsi;</w:t>
      </w:r>
    </w:p>
    <w:p w14:paraId="5E7BD4A1" w14:textId="77777777" w:rsidR="009B159C" w:rsidRPr="00F22F33" w:rsidRDefault="009B159C" w:rsidP="009B159C">
      <w:pPr>
        <w:pStyle w:val="Corpotesto"/>
        <w:spacing w:before="120"/>
        <w:jc w:val="both"/>
        <w:rPr>
          <w:bCs/>
          <w:iCs/>
          <w:color w:val="FF0000"/>
          <w:sz w:val="24"/>
        </w:rPr>
      </w:pPr>
      <w:r w:rsidRPr="00F22F33">
        <w:rPr>
          <w:bCs/>
          <w:iCs/>
          <w:color w:val="FF0000"/>
          <w:sz w:val="24"/>
        </w:rPr>
        <w:t>f)  l'organizzazione e la gestione dei servizi di raccolta, avvio e smaltimento e recupero dei rifiuti urbani e la riscossione dei relativi tributi; </w:t>
      </w:r>
      <w:bookmarkStart w:id="66" w:name="234up"/>
      <w:r w:rsidRPr="00F22F33">
        <w:rPr>
          <w:bCs/>
          <w:iCs/>
          <w:color w:val="FF0000"/>
          <w:sz w:val="24"/>
        </w:rPr>
        <w:fldChar w:fldCharType="begin"/>
      </w:r>
      <w:r w:rsidRPr="00F22F33">
        <w:rPr>
          <w:bCs/>
          <w:iCs/>
          <w:color w:val="FF0000"/>
          <w:sz w:val="24"/>
        </w:rPr>
        <w:instrText xml:space="preserve"> HYPERLINK "http://bd01.leggiditalia.it/cgi-bin/FulShow?NAVIPOS=1&amp;DS_POS=0&amp;KEY=01LX0000661382ART38&amp;FT_CID=328422&amp;OPERA=01" \l "234" </w:instrText>
      </w:r>
      <w:r w:rsidRPr="00F22F33">
        <w:rPr>
          <w:bCs/>
          <w:iCs/>
          <w:color w:val="FF0000"/>
          <w:sz w:val="24"/>
        </w:rPr>
      </w:r>
      <w:r w:rsidRPr="00F22F33">
        <w:rPr>
          <w:bCs/>
          <w:iCs/>
          <w:color w:val="FF0000"/>
          <w:sz w:val="24"/>
        </w:rPr>
        <w:fldChar w:fldCharType="separate"/>
      </w:r>
      <w:r w:rsidRPr="00F22F33">
        <w:rPr>
          <w:bCs/>
          <w:iCs/>
          <w:color w:val="FF0000"/>
          <w:sz w:val="24"/>
        </w:rPr>
        <w:t>(234)</w:t>
      </w:r>
      <w:r w:rsidRPr="00F22F33">
        <w:rPr>
          <w:bCs/>
          <w:iCs/>
          <w:color w:val="FF0000"/>
          <w:sz w:val="24"/>
        </w:rPr>
        <w:fldChar w:fldCharType="end"/>
      </w:r>
      <w:bookmarkEnd w:id="66"/>
    </w:p>
    <w:p w14:paraId="4F9903B9" w14:textId="77777777" w:rsidR="009B159C" w:rsidRPr="00F22F33" w:rsidRDefault="009B159C" w:rsidP="009B159C">
      <w:pPr>
        <w:pStyle w:val="Corpotesto"/>
        <w:spacing w:before="120"/>
        <w:jc w:val="both"/>
        <w:rPr>
          <w:bCs/>
          <w:iCs/>
          <w:color w:val="FF0000"/>
          <w:sz w:val="24"/>
        </w:rPr>
      </w:pPr>
      <w:r w:rsidRPr="00F22F33">
        <w:rPr>
          <w:bCs/>
          <w:iCs/>
          <w:color w:val="FF0000"/>
          <w:sz w:val="24"/>
        </w:rPr>
        <w:t>g)  progettazione e gestione del sistema locale dei servizi sociali ed erogazione delle relative prestazioni ai cittadini, secondo quanto previsto dall'articolo 118, quarto comma, della Costituzione;</w:t>
      </w:r>
    </w:p>
    <w:p w14:paraId="3C30A4E0" w14:textId="77777777" w:rsidR="009B159C" w:rsidRPr="00F22F33" w:rsidRDefault="009B159C" w:rsidP="009B159C">
      <w:pPr>
        <w:pStyle w:val="Corpotesto"/>
        <w:spacing w:before="120"/>
        <w:jc w:val="both"/>
        <w:rPr>
          <w:bCs/>
          <w:iCs/>
          <w:color w:val="FF0000"/>
          <w:sz w:val="24"/>
        </w:rPr>
      </w:pPr>
      <w:r w:rsidRPr="00F22F33">
        <w:rPr>
          <w:bCs/>
          <w:iCs/>
          <w:color w:val="FF0000"/>
          <w:sz w:val="24"/>
        </w:rPr>
        <w:t>h)  edilizia scolastica per la parte non attribuita alla competenza delle province, organizzazione e gestione dei servizi scolastici;</w:t>
      </w:r>
    </w:p>
    <w:p w14:paraId="313208F5" w14:textId="77777777" w:rsidR="009B159C" w:rsidRPr="00F22F33" w:rsidRDefault="009B159C" w:rsidP="009B159C">
      <w:pPr>
        <w:pStyle w:val="Corpotesto"/>
        <w:spacing w:before="120"/>
        <w:jc w:val="both"/>
        <w:rPr>
          <w:bCs/>
          <w:iCs/>
          <w:color w:val="FF0000"/>
          <w:sz w:val="24"/>
        </w:rPr>
      </w:pPr>
      <w:r w:rsidRPr="00F22F33">
        <w:rPr>
          <w:bCs/>
          <w:iCs/>
          <w:color w:val="FF0000"/>
          <w:sz w:val="24"/>
        </w:rPr>
        <w:t>i)  polizia municipale e polizia amministrativa locale;</w:t>
      </w:r>
    </w:p>
    <w:p w14:paraId="678E61D6" w14:textId="77777777" w:rsidR="009B159C" w:rsidRPr="00F22F33" w:rsidRDefault="009B159C" w:rsidP="009B159C">
      <w:pPr>
        <w:pStyle w:val="Corpotesto"/>
        <w:spacing w:before="120"/>
        <w:jc w:val="both"/>
        <w:rPr>
          <w:bCs/>
          <w:iCs/>
          <w:color w:val="FF0000"/>
          <w:sz w:val="24"/>
        </w:rPr>
      </w:pPr>
      <w:r w:rsidRPr="00F22F33">
        <w:rPr>
          <w:bCs/>
          <w:iCs/>
          <w:color w:val="FF0000"/>
          <w:sz w:val="24"/>
        </w:rPr>
        <w:lastRenderedPageBreak/>
        <w:t>l)  tenuta dei registri di stato civile e di popolazione e compiti in materia di servizi anagrafici nonché in materia di servizi elettorali, nell'esercizio delle funzioni di competenza statale;</w:t>
      </w:r>
    </w:p>
    <w:p w14:paraId="5C4C4FD8" w14:textId="77777777" w:rsidR="009B159C" w:rsidRPr="00F22F33" w:rsidRDefault="009B159C" w:rsidP="009B159C">
      <w:pPr>
        <w:pStyle w:val="Corpotesto"/>
        <w:spacing w:before="120"/>
        <w:jc w:val="both"/>
        <w:rPr>
          <w:bCs/>
          <w:iCs/>
          <w:color w:val="FF0000"/>
          <w:sz w:val="24"/>
        </w:rPr>
      </w:pPr>
      <w:r w:rsidRPr="00F22F33">
        <w:rPr>
          <w:bCs/>
          <w:iCs/>
          <w:color w:val="FF0000"/>
          <w:sz w:val="24"/>
        </w:rPr>
        <w:t>l-bis) i servizi in materia statistica.</w:t>
      </w:r>
    </w:p>
    <w:p w14:paraId="769FEA08" w14:textId="77777777" w:rsidR="009B159C" w:rsidRPr="00F22F33" w:rsidRDefault="009B159C" w:rsidP="009B159C">
      <w:pPr>
        <w:pStyle w:val="Corpotesto"/>
        <w:spacing w:before="120"/>
        <w:jc w:val="both"/>
        <w:rPr>
          <w:bCs/>
          <w:iCs/>
          <w:color w:val="FF0000"/>
          <w:sz w:val="24"/>
        </w:rPr>
      </w:pPr>
    </w:p>
    <w:p w14:paraId="6FE22991" w14:textId="77777777" w:rsidR="009B159C" w:rsidRPr="00F22F33" w:rsidRDefault="009B159C" w:rsidP="009B159C">
      <w:pPr>
        <w:pStyle w:val="TitoloB"/>
        <w:keepNext/>
        <w:widowControl w:val="0"/>
        <w:numPr>
          <w:ilvl w:val="2"/>
          <w:numId w:val="24"/>
        </w:numPr>
        <w:spacing w:before="120" w:after="0" w:line="240" w:lineRule="auto"/>
        <w:ind w:right="0"/>
        <w:jc w:val="both"/>
        <w:outlineLvl w:val="1"/>
        <w:rPr>
          <w:sz w:val="24"/>
          <w:szCs w:val="24"/>
        </w:rPr>
      </w:pPr>
      <w:bookmarkStart w:id="67" w:name="_Toc131582814"/>
      <w:bookmarkStart w:id="68" w:name="_Toc131582923"/>
      <w:bookmarkStart w:id="69" w:name="_Toc131583542"/>
      <w:r w:rsidRPr="00F22F33">
        <w:rPr>
          <w:sz w:val="24"/>
          <w:szCs w:val="24"/>
        </w:rPr>
        <w:t>La valutazione di impatto del contesto interno ed esterno</w:t>
      </w:r>
      <w:bookmarkEnd w:id="67"/>
      <w:bookmarkEnd w:id="68"/>
      <w:bookmarkEnd w:id="69"/>
      <w:r w:rsidRPr="00F22F33">
        <w:rPr>
          <w:sz w:val="24"/>
          <w:szCs w:val="24"/>
        </w:rPr>
        <w:t xml:space="preserve"> </w:t>
      </w:r>
    </w:p>
    <w:p w14:paraId="526198D6" w14:textId="2E90FE7F" w:rsidR="009B159C" w:rsidRPr="00F22F33" w:rsidRDefault="009B159C" w:rsidP="009B159C">
      <w:pPr>
        <w:spacing w:before="120" w:after="0" w:line="240" w:lineRule="auto"/>
        <w:jc w:val="both"/>
        <w:rPr>
          <w:rFonts w:ascii="Arial" w:hAnsi="Arial" w:cs="Arial"/>
          <w:bCs/>
          <w:sz w:val="24"/>
          <w:szCs w:val="24"/>
        </w:rPr>
      </w:pPr>
      <w:r w:rsidRPr="00F22F33">
        <w:rPr>
          <w:rFonts w:ascii="Arial" w:hAnsi="Arial" w:cs="Arial"/>
          <w:bCs/>
          <w:sz w:val="24"/>
          <w:szCs w:val="24"/>
        </w:rPr>
        <w:t>Dai risultati dell’analisi del contesto, sia esterno che interno, è possibile sviluppare le considerazioni seguenti in merito alle misure di prevenzione e contrasto della corruzione</w:t>
      </w:r>
      <w:r w:rsidR="00964184" w:rsidRPr="00F22F33">
        <w:rPr>
          <w:rFonts w:ascii="Arial" w:hAnsi="Arial" w:cs="Arial"/>
          <w:bCs/>
          <w:sz w:val="24"/>
          <w:szCs w:val="24"/>
        </w:rPr>
        <w:t>.</w:t>
      </w:r>
      <w:r w:rsidRPr="00F22F33">
        <w:rPr>
          <w:rFonts w:ascii="Arial" w:hAnsi="Arial" w:cs="Arial"/>
          <w:bCs/>
          <w:sz w:val="24"/>
          <w:szCs w:val="24"/>
        </w:rPr>
        <w:t xml:space="preserve"> </w:t>
      </w:r>
    </w:p>
    <w:p w14:paraId="23B7543F" w14:textId="77777777" w:rsidR="00964184" w:rsidRPr="00F22F33" w:rsidRDefault="00964184" w:rsidP="009B159C">
      <w:pPr>
        <w:spacing w:before="120" w:after="0" w:line="240" w:lineRule="auto"/>
        <w:jc w:val="both"/>
        <w:rPr>
          <w:rFonts w:ascii="Arial" w:hAnsi="Arial" w:cs="Arial"/>
          <w:color w:val="0F243E" w:themeColor="text2" w:themeShade="80"/>
          <w:sz w:val="24"/>
          <w:szCs w:val="24"/>
        </w:rPr>
      </w:pPr>
      <w:bookmarkStart w:id="70" w:name="_Toc87523798"/>
    </w:p>
    <w:p w14:paraId="41B119D3" w14:textId="77777777" w:rsidR="009B159C" w:rsidRPr="00F22F33" w:rsidRDefault="009B159C" w:rsidP="009B159C">
      <w:pPr>
        <w:pStyle w:val="TitoloB"/>
        <w:keepNext/>
        <w:widowControl w:val="0"/>
        <w:numPr>
          <w:ilvl w:val="1"/>
          <w:numId w:val="24"/>
        </w:numPr>
        <w:spacing w:before="120" w:after="0" w:line="240" w:lineRule="auto"/>
        <w:ind w:right="0"/>
        <w:jc w:val="both"/>
        <w:outlineLvl w:val="1"/>
        <w:rPr>
          <w:sz w:val="24"/>
          <w:szCs w:val="24"/>
        </w:rPr>
      </w:pPr>
      <w:bookmarkStart w:id="71" w:name="_Toc97543232"/>
      <w:bookmarkStart w:id="72" w:name="_Toc131582815"/>
      <w:bookmarkStart w:id="73" w:name="_Toc131582924"/>
      <w:bookmarkStart w:id="74" w:name="_Toc131583543"/>
      <w:r w:rsidRPr="00F22F33">
        <w:rPr>
          <w:sz w:val="24"/>
          <w:szCs w:val="24"/>
        </w:rPr>
        <w:t>La mappatura dei processi</w:t>
      </w:r>
      <w:bookmarkEnd w:id="70"/>
      <w:bookmarkEnd w:id="71"/>
      <w:bookmarkEnd w:id="72"/>
      <w:bookmarkEnd w:id="73"/>
      <w:bookmarkEnd w:id="74"/>
    </w:p>
    <w:p w14:paraId="28FEE80D" w14:textId="77777777" w:rsidR="00964184" w:rsidRPr="00F22F33" w:rsidRDefault="00964184" w:rsidP="00964184">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L’aspetto più importante dell’analisi del contesto interno, oltre alla rilevazione dei dati generali relativi alla struttura e alla dimensione organizzativa, è la mappatura dei processi, al fine di identificare aree che, in ragione della natura e della peculiarità dell’attività stessa, risultino potenzialmente esposte a rischi corruttivi. </w:t>
      </w:r>
    </w:p>
    <w:p w14:paraId="56191130" w14:textId="77777777" w:rsidR="00964184" w:rsidRPr="00F22F33" w:rsidRDefault="00964184" w:rsidP="00964184">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Secondo il PNA, un processo può essere definito come una sequenza di attività interrelate ed interagenti che trasformano delle risorse in un output destinato ad un soggetto interno o esterno all'amministrazione (utente).</w:t>
      </w:r>
    </w:p>
    <w:p w14:paraId="1AB54FCE" w14:textId="77777777" w:rsidR="00964184" w:rsidRPr="00F22F33" w:rsidRDefault="00964184" w:rsidP="00964184">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La mappatura dei processi si articola in tre fasi: </w:t>
      </w:r>
    </w:p>
    <w:p w14:paraId="38C364DB" w14:textId="77777777" w:rsidR="00964184" w:rsidRPr="00F22F33" w:rsidRDefault="00964184" w:rsidP="00964184">
      <w:pPr>
        <w:pStyle w:val="Paragrafoelenco"/>
        <w:numPr>
          <w:ilvl w:val="0"/>
          <w:numId w:val="6"/>
        </w:num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identificazione;  </w:t>
      </w:r>
    </w:p>
    <w:p w14:paraId="3B01094A" w14:textId="77777777" w:rsidR="00964184" w:rsidRPr="00F22F33" w:rsidRDefault="00964184" w:rsidP="00964184">
      <w:pPr>
        <w:pStyle w:val="Paragrafoelenco"/>
        <w:numPr>
          <w:ilvl w:val="0"/>
          <w:numId w:val="6"/>
        </w:num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descrizione; </w:t>
      </w:r>
    </w:p>
    <w:p w14:paraId="31CE2CA8" w14:textId="77777777" w:rsidR="00964184" w:rsidRPr="00F22F33" w:rsidRDefault="00964184" w:rsidP="00964184">
      <w:pPr>
        <w:spacing w:before="120" w:after="0" w:line="240" w:lineRule="auto"/>
        <w:ind w:left="360"/>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3- rappresentazione. </w:t>
      </w:r>
    </w:p>
    <w:p w14:paraId="4D93FB87" w14:textId="77777777" w:rsidR="00964184" w:rsidRPr="00F22F33" w:rsidRDefault="00964184" w:rsidP="00964184">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che si svolgeranno secondo le modalità indicate nel citato PNA 2019 </w:t>
      </w:r>
      <w:proofErr w:type="gramStart"/>
      <w:r w:rsidRPr="00F22F33">
        <w:rPr>
          <w:rFonts w:ascii="Arial" w:hAnsi="Arial" w:cs="Arial"/>
          <w:bCs/>
          <w:color w:val="000000" w:themeColor="text1"/>
          <w:sz w:val="24"/>
          <w:szCs w:val="24"/>
        </w:rPr>
        <w:t>ed</w:t>
      </w:r>
      <w:proofErr w:type="gramEnd"/>
      <w:r w:rsidRPr="00F22F33">
        <w:rPr>
          <w:rFonts w:ascii="Arial" w:hAnsi="Arial" w:cs="Arial"/>
          <w:bCs/>
          <w:color w:val="000000" w:themeColor="text1"/>
          <w:sz w:val="24"/>
          <w:szCs w:val="24"/>
        </w:rPr>
        <w:t>, in particolare nell’allegato A “Mappatura dei processi e catalogo dei rischi”.</w:t>
      </w:r>
    </w:p>
    <w:p w14:paraId="4125435C" w14:textId="77777777" w:rsidR="00964184" w:rsidRPr="00F22F33" w:rsidRDefault="00964184" w:rsidP="00964184">
      <w:pPr>
        <w:spacing w:before="120" w:after="0" w:line="240" w:lineRule="auto"/>
        <w:jc w:val="both"/>
        <w:rPr>
          <w:rFonts w:ascii="Arial" w:hAnsi="Arial" w:cs="Arial"/>
          <w:bCs/>
          <w:color w:val="000000" w:themeColor="text1"/>
          <w:sz w:val="24"/>
          <w:szCs w:val="24"/>
        </w:rPr>
      </w:pPr>
    </w:p>
    <w:p w14:paraId="064EDA1F" w14:textId="77777777" w:rsidR="00E74793" w:rsidRPr="00F22F33" w:rsidRDefault="00341911" w:rsidP="00841AB7">
      <w:pPr>
        <w:pStyle w:val="TitoloB"/>
        <w:keepNext/>
        <w:widowControl w:val="0"/>
        <w:spacing w:after="360" w:line="280" w:lineRule="exact"/>
        <w:ind w:left="360" w:right="0"/>
        <w:jc w:val="both"/>
        <w:outlineLvl w:val="1"/>
        <w:rPr>
          <w:color w:val="0F243E" w:themeColor="text2" w:themeShade="80"/>
          <w:sz w:val="24"/>
          <w:szCs w:val="24"/>
        </w:rPr>
      </w:pPr>
      <w:bookmarkStart w:id="75" w:name="_Toc25585728"/>
      <w:bookmarkStart w:id="76" w:name="_Toc131582816"/>
      <w:bookmarkStart w:id="77" w:name="_Toc131582925"/>
      <w:bookmarkStart w:id="78" w:name="_Toc131583544"/>
      <w:bookmarkEnd w:id="6"/>
      <w:r w:rsidRPr="00F22F33">
        <w:rPr>
          <w:color w:val="0F243E" w:themeColor="text2" w:themeShade="80"/>
          <w:sz w:val="24"/>
          <w:szCs w:val="24"/>
        </w:rPr>
        <w:t>3</w:t>
      </w:r>
      <w:r w:rsidR="00841AB7" w:rsidRPr="00F22F33">
        <w:rPr>
          <w:color w:val="0F243E" w:themeColor="text2" w:themeShade="80"/>
          <w:sz w:val="24"/>
          <w:szCs w:val="24"/>
        </w:rPr>
        <w:t xml:space="preserve">. </w:t>
      </w:r>
      <w:r w:rsidR="00960D5B" w:rsidRPr="00F22F33">
        <w:rPr>
          <w:color w:val="0F243E" w:themeColor="text2" w:themeShade="80"/>
          <w:sz w:val="24"/>
          <w:szCs w:val="24"/>
        </w:rPr>
        <w:t>V</w:t>
      </w:r>
      <w:r w:rsidR="00E74793" w:rsidRPr="00F22F33">
        <w:rPr>
          <w:color w:val="0F243E" w:themeColor="text2" w:themeShade="80"/>
          <w:sz w:val="24"/>
          <w:szCs w:val="24"/>
        </w:rPr>
        <w:t xml:space="preserve">alutazione </w:t>
      </w:r>
      <w:r w:rsidRPr="00F22F33">
        <w:rPr>
          <w:color w:val="0F243E" w:themeColor="text2" w:themeShade="80"/>
          <w:sz w:val="24"/>
          <w:szCs w:val="24"/>
        </w:rPr>
        <w:t>e trattamento del rischio</w:t>
      </w:r>
      <w:bookmarkEnd w:id="75"/>
      <w:bookmarkEnd w:id="76"/>
      <w:bookmarkEnd w:id="77"/>
      <w:bookmarkEnd w:id="78"/>
    </w:p>
    <w:p w14:paraId="51F46244" w14:textId="71ECEF5D" w:rsidR="006B2DCA" w:rsidRPr="00F22F33" w:rsidRDefault="001A2E0E" w:rsidP="00827ABA">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L</w:t>
      </w:r>
      <w:r w:rsidR="006B2DCA" w:rsidRPr="00F22F33">
        <w:rPr>
          <w:rFonts w:ascii="Arial" w:hAnsi="Arial" w:cs="Arial"/>
          <w:bCs/>
          <w:color w:val="000000" w:themeColor="text1"/>
          <w:sz w:val="24"/>
          <w:szCs w:val="24"/>
        </w:rPr>
        <w:t xml:space="preserve">a valutazione del rischio è </w:t>
      </w:r>
      <w:r w:rsidR="00827ABA" w:rsidRPr="00F22F33">
        <w:rPr>
          <w:rFonts w:ascii="Arial" w:hAnsi="Arial" w:cs="Arial"/>
          <w:bCs/>
          <w:color w:val="000000" w:themeColor="text1"/>
          <w:sz w:val="24"/>
          <w:szCs w:val="24"/>
        </w:rPr>
        <w:t xml:space="preserve">svolta per ciascuna attività, processo o fase di processo mappati. La valutazione prevede l’identificazione, l’analisi e la ponderazione del rischio.   </w:t>
      </w:r>
    </w:p>
    <w:p w14:paraId="276AABE3" w14:textId="77777777" w:rsidR="00182924" w:rsidRPr="00F22F33" w:rsidRDefault="00182924" w:rsidP="003B2613">
      <w:pPr>
        <w:spacing w:before="120" w:after="0" w:line="240" w:lineRule="auto"/>
        <w:jc w:val="both"/>
        <w:rPr>
          <w:rFonts w:ascii="Arial" w:hAnsi="Arial" w:cs="Arial"/>
          <w:bCs/>
          <w:color w:val="002060"/>
          <w:sz w:val="24"/>
          <w:szCs w:val="24"/>
        </w:rPr>
      </w:pPr>
    </w:p>
    <w:p w14:paraId="4250ED7F" w14:textId="7419FE53" w:rsidR="00DC02CC" w:rsidRPr="00F22F33" w:rsidRDefault="00920EAF" w:rsidP="00841AB7">
      <w:pPr>
        <w:pStyle w:val="TitoloB"/>
        <w:keepNext/>
        <w:widowControl w:val="0"/>
        <w:spacing w:after="360" w:line="280" w:lineRule="exact"/>
        <w:ind w:left="360" w:right="0"/>
        <w:jc w:val="both"/>
        <w:outlineLvl w:val="1"/>
        <w:rPr>
          <w:color w:val="000000" w:themeColor="text1"/>
          <w:sz w:val="24"/>
          <w:szCs w:val="24"/>
        </w:rPr>
      </w:pPr>
      <w:bookmarkStart w:id="79" w:name="_Toc25585729"/>
      <w:bookmarkStart w:id="80" w:name="_Toc131582817"/>
      <w:bookmarkStart w:id="81" w:name="_Toc131582926"/>
      <w:bookmarkStart w:id="82" w:name="_Toc131583545"/>
      <w:r w:rsidRPr="00F22F33">
        <w:rPr>
          <w:color w:val="000000" w:themeColor="text1"/>
          <w:sz w:val="24"/>
          <w:szCs w:val="24"/>
        </w:rPr>
        <w:t>3.1.</w:t>
      </w:r>
      <w:r w:rsidR="00841AB7" w:rsidRPr="00F22F33">
        <w:rPr>
          <w:color w:val="000000" w:themeColor="text1"/>
          <w:sz w:val="24"/>
          <w:szCs w:val="24"/>
        </w:rPr>
        <w:t xml:space="preserve"> </w:t>
      </w:r>
      <w:r w:rsidR="00DC02CC" w:rsidRPr="00F22F33">
        <w:rPr>
          <w:color w:val="000000" w:themeColor="text1"/>
          <w:sz w:val="24"/>
          <w:szCs w:val="24"/>
        </w:rPr>
        <w:t>Identificazione</w:t>
      </w:r>
      <w:bookmarkEnd w:id="79"/>
      <w:r w:rsidR="00600D4B">
        <w:rPr>
          <w:color w:val="000000" w:themeColor="text1"/>
          <w:sz w:val="24"/>
          <w:szCs w:val="24"/>
        </w:rPr>
        <w:t xml:space="preserve"> del rischio</w:t>
      </w:r>
      <w:bookmarkEnd w:id="80"/>
      <w:bookmarkEnd w:id="81"/>
      <w:bookmarkEnd w:id="82"/>
    </w:p>
    <w:p w14:paraId="35B3E64C" w14:textId="33664D99" w:rsidR="00E74793" w:rsidRPr="00F22F33" w:rsidRDefault="00DC02CC"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Nella fase di </w:t>
      </w:r>
      <w:r w:rsidR="006B2DCA" w:rsidRPr="00F22F33">
        <w:rPr>
          <w:rFonts w:ascii="Arial" w:hAnsi="Arial" w:cs="Arial"/>
          <w:bCs/>
          <w:color w:val="000000" w:themeColor="text1"/>
          <w:sz w:val="24"/>
          <w:szCs w:val="24"/>
        </w:rPr>
        <w:t xml:space="preserve">identificazione degli </w:t>
      </w:r>
      <w:r w:rsidRPr="00F22F33">
        <w:rPr>
          <w:rFonts w:ascii="Arial" w:hAnsi="Arial" w:cs="Arial"/>
          <w:bCs/>
          <w:color w:val="000000" w:themeColor="text1"/>
          <w:sz w:val="24"/>
          <w:szCs w:val="24"/>
        </w:rPr>
        <w:t>“</w:t>
      </w:r>
      <w:r w:rsidR="006B2DCA" w:rsidRPr="00F22F33">
        <w:rPr>
          <w:rFonts w:ascii="Arial" w:hAnsi="Arial" w:cs="Arial"/>
          <w:bCs/>
          <w:color w:val="000000" w:themeColor="text1"/>
          <w:sz w:val="24"/>
          <w:szCs w:val="24"/>
        </w:rPr>
        <w:t>eventi rischiosi</w:t>
      </w:r>
      <w:r w:rsidRPr="00F22F33">
        <w:rPr>
          <w:rFonts w:ascii="Arial" w:hAnsi="Arial" w:cs="Arial"/>
          <w:bCs/>
          <w:color w:val="000000" w:themeColor="text1"/>
          <w:sz w:val="24"/>
          <w:szCs w:val="24"/>
        </w:rPr>
        <w:t>”</w:t>
      </w:r>
      <w:r w:rsidR="000624F8" w:rsidRPr="00F22F33">
        <w:rPr>
          <w:rFonts w:ascii="Arial" w:hAnsi="Arial" w:cs="Arial"/>
          <w:bCs/>
          <w:color w:val="000000" w:themeColor="text1"/>
          <w:sz w:val="24"/>
          <w:szCs w:val="24"/>
        </w:rPr>
        <w:t>, allegato B,</w:t>
      </w:r>
      <w:r w:rsidR="006B2DCA" w:rsidRPr="00F22F33">
        <w:rPr>
          <w:rFonts w:ascii="Arial" w:hAnsi="Arial" w:cs="Arial"/>
          <w:bCs/>
          <w:color w:val="000000" w:themeColor="text1"/>
          <w:sz w:val="24"/>
          <w:szCs w:val="24"/>
        </w:rPr>
        <w:t xml:space="preserve"> l’obiettivo </w:t>
      </w:r>
      <w:r w:rsidRPr="00F22F33">
        <w:rPr>
          <w:rFonts w:ascii="Arial" w:hAnsi="Arial" w:cs="Arial"/>
          <w:bCs/>
          <w:color w:val="000000" w:themeColor="text1"/>
          <w:sz w:val="24"/>
          <w:szCs w:val="24"/>
        </w:rPr>
        <w:t xml:space="preserve">è </w:t>
      </w:r>
      <w:r w:rsidR="006B2DCA" w:rsidRPr="00F22F33">
        <w:rPr>
          <w:rFonts w:ascii="Arial" w:hAnsi="Arial" w:cs="Arial"/>
          <w:bCs/>
          <w:color w:val="000000" w:themeColor="text1"/>
          <w:sz w:val="24"/>
          <w:szCs w:val="24"/>
        </w:rPr>
        <w:t>individuare comportamenti o fatti</w:t>
      </w:r>
      <w:r w:rsidRPr="00F22F33">
        <w:rPr>
          <w:rFonts w:ascii="Arial" w:hAnsi="Arial" w:cs="Arial"/>
          <w:bCs/>
          <w:color w:val="000000" w:themeColor="text1"/>
          <w:sz w:val="24"/>
          <w:szCs w:val="24"/>
        </w:rPr>
        <w:t>,</w:t>
      </w:r>
      <w:r w:rsidR="006B2DCA" w:rsidRPr="00F22F33">
        <w:rPr>
          <w:rFonts w:ascii="Arial" w:hAnsi="Arial" w:cs="Arial"/>
          <w:bCs/>
          <w:color w:val="000000" w:themeColor="text1"/>
          <w:sz w:val="24"/>
          <w:szCs w:val="24"/>
        </w:rPr>
        <w:t xml:space="preserve"> rela</w:t>
      </w:r>
      <w:r w:rsidRPr="00F22F33">
        <w:rPr>
          <w:rFonts w:ascii="Arial" w:hAnsi="Arial" w:cs="Arial"/>
          <w:bCs/>
          <w:color w:val="000000" w:themeColor="text1"/>
          <w:sz w:val="24"/>
          <w:szCs w:val="24"/>
        </w:rPr>
        <w:t xml:space="preserve">tivi </w:t>
      </w:r>
      <w:r w:rsidR="006B2DCA" w:rsidRPr="00F22F33">
        <w:rPr>
          <w:rFonts w:ascii="Arial" w:hAnsi="Arial" w:cs="Arial"/>
          <w:bCs/>
          <w:color w:val="000000" w:themeColor="text1"/>
          <w:sz w:val="24"/>
          <w:szCs w:val="24"/>
        </w:rPr>
        <w:t xml:space="preserve">ai processi dell’amministrazione, tramite </w:t>
      </w:r>
      <w:r w:rsidRPr="00F22F33">
        <w:rPr>
          <w:rFonts w:ascii="Arial" w:hAnsi="Arial" w:cs="Arial"/>
          <w:bCs/>
          <w:color w:val="000000" w:themeColor="text1"/>
          <w:sz w:val="24"/>
          <w:szCs w:val="24"/>
        </w:rPr>
        <w:t>i quali</w:t>
      </w:r>
      <w:r w:rsidR="006B2DCA" w:rsidRPr="00F22F33">
        <w:rPr>
          <w:rFonts w:ascii="Arial" w:hAnsi="Arial" w:cs="Arial"/>
          <w:bCs/>
          <w:color w:val="000000" w:themeColor="text1"/>
          <w:sz w:val="24"/>
          <w:szCs w:val="24"/>
        </w:rPr>
        <w:t xml:space="preserve"> si concretizza il fenomeno corruttivo.  </w:t>
      </w:r>
    </w:p>
    <w:p w14:paraId="5196BE2F" w14:textId="77777777" w:rsidR="006B2DCA" w:rsidRPr="00F22F33" w:rsidRDefault="00DC02CC"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Secondo l’ANAC, “q</w:t>
      </w:r>
      <w:r w:rsidR="006B2DCA" w:rsidRPr="00F22F33">
        <w:rPr>
          <w:rFonts w:ascii="Arial" w:hAnsi="Arial" w:cs="Arial"/>
          <w:bCs/>
          <w:color w:val="000000" w:themeColor="text1"/>
          <w:sz w:val="24"/>
          <w:szCs w:val="24"/>
        </w:rPr>
        <w:t>uesta fase è cruciale perché un evento rischioso non identificato non potrà essere gestito</w:t>
      </w:r>
      <w:r w:rsidRPr="00F22F33">
        <w:rPr>
          <w:rFonts w:ascii="Arial" w:hAnsi="Arial" w:cs="Arial"/>
          <w:bCs/>
          <w:color w:val="000000" w:themeColor="text1"/>
          <w:sz w:val="24"/>
          <w:szCs w:val="24"/>
        </w:rPr>
        <w:t xml:space="preserve"> </w:t>
      </w:r>
      <w:r w:rsidR="006B2DCA" w:rsidRPr="00F22F33">
        <w:rPr>
          <w:rFonts w:ascii="Arial" w:hAnsi="Arial" w:cs="Arial"/>
          <w:bCs/>
          <w:color w:val="000000" w:themeColor="text1"/>
          <w:sz w:val="24"/>
          <w:szCs w:val="24"/>
        </w:rPr>
        <w:t xml:space="preserve">e la mancata individuazione potrebbe </w:t>
      </w:r>
      <w:r w:rsidR="006B2DCA" w:rsidRPr="00F22F33">
        <w:rPr>
          <w:rFonts w:ascii="Arial" w:hAnsi="Arial" w:cs="Arial"/>
          <w:bCs/>
          <w:color w:val="000000" w:themeColor="text1"/>
          <w:sz w:val="24"/>
          <w:szCs w:val="24"/>
        </w:rPr>
        <w:lastRenderedPageBreak/>
        <w:t>compromettere l’attuazione di una strategia efficace di prevenzione della corruzione</w:t>
      </w:r>
      <w:r w:rsidRPr="00F22F33">
        <w:rPr>
          <w:rFonts w:ascii="Arial" w:hAnsi="Arial" w:cs="Arial"/>
          <w:bCs/>
          <w:color w:val="000000" w:themeColor="text1"/>
          <w:sz w:val="24"/>
          <w:szCs w:val="24"/>
        </w:rPr>
        <w:t>”</w:t>
      </w:r>
      <w:r w:rsidR="006B2DCA" w:rsidRPr="00F22F33">
        <w:rPr>
          <w:rFonts w:ascii="Arial" w:hAnsi="Arial" w:cs="Arial"/>
          <w:bCs/>
          <w:color w:val="000000" w:themeColor="text1"/>
          <w:sz w:val="24"/>
          <w:szCs w:val="24"/>
        </w:rPr>
        <w:t xml:space="preserve">.  </w:t>
      </w:r>
    </w:p>
    <w:p w14:paraId="1F0B0358" w14:textId="05A1760B" w:rsidR="006B2DCA" w:rsidRPr="00F22F33" w:rsidRDefault="001F5D93"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I</w:t>
      </w:r>
      <w:r w:rsidR="006B2DCA" w:rsidRPr="00F22F33">
        <w:rPr>
          <w:rFonts w:ascii="Arial" w:hAnsi="Arial" w:cs="Arial"/>
          <w:bCs/>
          <w:color w:val="000000" w:themeColor="text1"/>
          <w:sz w:val="24"/>
          <w:szCs w:val="24"/>
        </w:rPr>
        <w:t xml:space="preserve">l coinvolgimento della struttura organizzativa è </w:t>
      </w:r>
      <w:r w:rsidR="00DC02CC" w:rsidRPr="00F22F33">
        <w:rPr>
          <w:rFonts w:ascii="Arial" w:hAnsi="Arial" w:cs="Arial"/>
          <w:bCs/>
          <w:color w:val="000000" w:themeColor="text1"/>
          <w:sz w:val="24"/>
          <w:szCs w:val="24"/>
        </w:rPr>
        <w:t>essenziale</w:t>
      </w:r>
      <w:r w:rsidR="00C15E05" w:rsidRPr="00F22F33">
        <w:rPr>
          <w:rFonts w:ascii="Arial" w:hAnsi="Arial" w:cs="Arial"/>
          <w:bCs/>
          <w:color w:val="000000" w:themeColor="text1"/>
          <w:sz w:val="24"/>
          <w:szCs w:val="24"/>
        </w:rPr>
        <w:t xml:space="preserve"> </w:t>
      </w:r>
      <w:proofErr w:type="gramStart"/>
      <w:r w:rsidR="00C15E05" w:rsidRPr="00F22F33">
        <w:rPr>
          <w:rFonts w:ascii="Arial" w:hAnsi="Arial" w:cs="Arial"/>
          <w:bCs/>
          <w:color w:val="000000" w:themeColor="text1"/>
          <w:sz w:val="24"/>
          <w:szCs w:val="24"/>
        </w:rPr>
        <w:t>ma  l’ente</w:t>
      </w:r>
      <w:proofErr w:type="gramEnd"/>
      <w:r w:rsidR="00C15E05" w:rsidRPr="00F22F33">
        <w:rPr>
          <w:rFonts w:ascii="Arial" w:hAnsi="Arial" w:cs="Arial"/>
          <w:bCs/>
          <w:color w:val="000000" w:themeColor="text1"/>
          <w:sz w:val="24"/>
          <w:szCs w:val="24"/>
        </w:rPr>
        <w:t xml:space="preserve"> ha una dimensione organizzativa ridotta con poche risorse e competenze adeguate allo scopo e in considerazione del fatto che</w:t>
      </w:r>
      <w:r w:rsidR="00C972DA" w:rsidRPr="00F22F33">
        <w:rPr>
          <w:rFonts w:ascii="Arial" w:hAnsi="Arial" w:cs="Arial"/>
          <w:bCs/>
          <w:color w:val="000000" w:themeColor="text1"/>
          <w:sz w:val="24"/>
          <w:szCs w:val="24"/>
        </w:rPr>
        <w:t xml:space="preserve">, a seguito di adeguate valutazioni, il rischio corruttivo è stato ritenuto basso e non si sono manifestati fatti o situazioni indicative di qualche forma di criticità. </w:t>
      </w:r>
      <w:r w:rsidR="00C15E05" w:rsidRPr="00F22F33">
        <w:rPr>
          <w:rFonts w:ascii="Arial" w:hAnsi="Arial" w:cs="Arial"/>
          <w:bCs/>
          <w:color w:val="000000" w:themeColor="text1"/>
          <w:sz w:val="24"/>
          <w:szCs w:val="24"/>
        </w:rPr>
        <w:t xml:space="preserve">  </w:t>
      </w:r>
      <w:r w:rsidR="00C972DA" w:rsidRPr="00F22F33">
        <w:rPr>
          <w:rFonts w:ascii="Arial" w:hAnsi="Arial" w:cs="Arial"/>
          <w:bCs/>
          <w:color w:val="000000" w:themeColor="text1"/>
          <w:sz w:val="24"/>
          <w:szCs w:val="24"/>
        </w:rPr>
        <w:t xml:space="preserve"> </w:t>
      </w:r>
    </w:p>
    <w:p w14:paraId="65847E21" w14:textId="77777777" w:rsidR="005E2AD8" w:rsidRPr="00F22F33" w:rsidRDefault="005E2AD8" w:rsidP="003B2613">
      <w:pPr>
        <w:spacing w:before="120" w:after="0" w:line="240" w:lineRule="auto"/>
        <w:jc w:val="both"/>
        <w:rPr>
          <w:rFonts w:ascii="Arial" w:hAnsi="Arial" w:cs="Arial"/>
          <w:bCs/>
          <w:color w:val="000000" w:themeColor="text1"/>
          <w:sz w:val="24"/>
          <w:szCs w:val="24"/>
          <w:u w:val="single"/>
        </w:rPr>
      </w:pPr>
    </w:p>
    <w:p w14:paraId="1F70E0AB" w14:textId="77777777" w:rsidR="00E25731" w:rsidRPr="00F22F33" w:rsidRDefault="00271509" w:rsidP="003B2613">
      <w:pPr>
        <w:spacing w:before="120" w:after="0" w:line="240" w:lineRule="auto"/>
        <w:jc w:val="both"/>
        <w:rPr>
          <w:rFonts w:ascii="Arial" w:hAnsi="Arial" w:cs="Arial"/>
          <w:b/>
          <w:color w:val="000000" w:themeColor="text1"/>
          <w:sz w:val="24"/>
          <w:szCs w:val="24"/>
        </w:rPr>
      </w:pPr>
      <w:r w:rsidRPr="00F22F33">
        <w:rPr>
          <w:rFonts w:ascii="Arial" w:hAnsi="Arial" w:cs="Arial"/>
          <w:b/>
          <w:bCs/>
          <w:color w:val="000000" w:themeColor="text1"/>
          <w:sz w:val="24"/>
          <w:szCs w:val="24"/>
        </w:rPr>
        <w:t>T</w:t>
      </w:r>
      <w:r w:rsidR="00182924" w:rsidRPr="00F22F33">
        <w:rPr>
          <w:rFonts w:ascii="Arial" w:hAnsi="Arial" w:cs="Arial"/>
          <w:b/>
          <w:bCs/>
          <w:color w:val="000000" w:themeColor="text1"/>
          <w:sz w:val="24"/>
          <w:szCs w:val="24"/>
        </w:rPr>
        <w:t xml:space="preserve">ecniche e </w:t>
      </w:r>
      <w:r w:rsidRPr="00F22F33">
        <w:rPr>
          <w:rFonts w:ascii="Arial" w:hAnsi="Arial" w:cs="Arial"/>
          <w:b/>
          <w:bCs/>
          <w:color w:val="000000" w:themeColor="text1"/>
          <w:sz w:val="24"/>
          <w:szCs w:val="24"/>
        </w:rPr>
        <w:t>f</w:t>
      </w:r>
      <w:r w:rsidR="00182924" w:rsidRPr="00F22F33">
        <w:rPr>
          <w:rFonts w:ascii="Arial" w:hAnsi="Arial" w:cs="Arial"/>
          <w:b/>
          <w:bCs/>
          <w:color w:val="000000" w:themeColor="text1"/>
          <w:sz w:val="24"/>
          <w:szCs w:val="24"/>
        </w:rPr>
        <w:t>onti informative</w:t>
      </w:r>
      <w:r w:rsidR="00C52A3D" w:rsidRPr="00F22F33">
        <w:rPr>
          <w:rFonts w:ascii="Arial" w:hAnsi="Arial" w:cs="Arial"/>
          <w:bCs/>
          <w:color w:val="000000" w:themeColor="text1"/>
          <w:sz w:val="24"/>
          <w:szCs w:val="24"/>
        </w:rPr>
        <w:t>:</w:t>
      </w:r>
      <w:r w:rsidR="00C52A3D" w:rsidRPr="00F22F33">
        <w:rPr>
          <w:rFonts w:ascii="Arial" w:hAnsi="Arial" w:cs="Arial"/>
          <w:b/>
          <w:color w:val="000000" w:themeColor="text1"/>
          <w:sz w:val="24"/>
          <w:szCs w:val="24"/>
        </w:rPr>
        <w:t xml:space="preserve"> </w:t>
      </w:r>
    </w:p>
    <w:p w14:paraId="432B529A" w14:textId="785E26F9" w:rsidR="008B182A" w:rsidRPr="00F22F33" w:rsidRDefault="00692574"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i rischi di corruzione sono stati ipotizzati considerando il contesto esterno ed interno all’amministrazione, anche con riferimento alle specifiche posizioni organizzative, alle risultanze della mappatura dei processi</w:t>
      </w:r>
      <w:r w:rsidR="00DA2F14" w:rsidRPr="00F22F33">
        <w:rPr>
          <w:rFonts w:ascii="Arial" w:hAnsi="Arial" w:cs="Arial"/>
          <w:bCs/>
          <w:color w:val="000000" w:themeColor="text1"/>
          <w:sz w:val="24"/>
          <w:szCs w:val="24"/>
        </w:rPr>
        <w:t xml:space="preserve">; </w:t>
      </w:r>
      <w:proofErr w:type="gramStart"/>
      <w:r w:rsidR="00DA2F14" w:rsidRPr="00F22F33">
        <w:rPr>
          <w:rFonts w:ascii="Arial" w:hAnsi="Arial" w:cs="Arial"/>
          <w:bCs/>
          <w:color w:val="000000" w:themeColor="text1"/>
          <w:sz w:val="24"/>
          <w:szCs w:val="24"/>
        </w:rPr>
        <w:t xml:space="preserve">all’assenza </w:t>
      </w:r>
      <w:r w:rsidRPr="00F22F33">
        <w:rPr>
          <w:rFonts w:ascii="Arial" w:hAnsi="Arial" w:cs="Arial"/>
          <w:bCs/>
          <w:color w:val="000000" w:themeColor="text1"/>
          <w:sz w:val="24"/>
          <w:szCs w:val="24"/>
        </w:rPr>
        <w:t xml:space="preserve"> di</w:t>
      </w:r>
      <w:proofErr w:type="gramEnd"/>
      <w:r w:rsidRPr="00F22F33">
        <w:rPr>
          <w:rFonts w:ascii="Arial" w:hAnsi="Arial" w:cs="Arial"/>
          <w:bCs/>
          <w:color w:val="000000" w:themeColor="text1"/>
          <w:sz w:val="24"/>
          <w:szCs w:val="24"/>
        </w:rPr>
        <w:t xml:space="preserve"> casi giudiziari e di altri episodi di corruzione o cattiva gestione accaduti in passato; all’assenza di segnalazioni tramite il </w:t>
      </w:r>
      <w:r w:rsidR="00182924" w:rsidRPr="00F22F33">
        <w:rPr>
          <w:rFonts w:ascii="Arial" w:hAnsi="Arial" w:cs="Arial"/>
          <w:bCs/>
          <w:color w:val="000000" w:themeColor="text1"/>
          <w:sz w:val="24"/>
          <w:szCs w:val="24"/>
        </w:rPr>
        <w:t xml:space="preserve"> </w:t>
      </w:r>
      <w:r w:rsidR="008B182A" w:rsidRPr="00F22F33">
        <w:rPr>
          <w:rFonts w:ascii="Arial" w:hAnsi="Arial" w:cs="Arial"/>
          <w:bCs/>
          <w:color w:val="000000" w:themeColor="text1"/>
          <w:sz w:val="24"/>
          <w:szCs w:val="24"/>
        </w:rPr>
        <w:t>“</w:t>
      </w:r>
      <w:r w:rsidR="00182924" w:rsidRPr="00F22F33">
        <w:rPr>
          <w:rFonts w:ascii="Arial" w:hAnsi="Arial" w:cs="Arial"/>
          <w:bCs/>
          <w:color w:val="000000" w:themeColor="text1"/>
          <w:sz w:val="24"/>
          <w:szCs w:val="24"/>
        </w:rPr>
        <w:t>whistleblowing</w:t>
      </w:r>
      <w:r w:rsidR="008B182A" w:rsidRPr="00F22F33">
        <w:rPr>
          <w:rFonts w:ascii="Arial" w:hAnsi="Arial" w:cs="Arial"/>
          <w:bCs/>
          <w:color w:val="000000" w:themeColor="text1"/>
          <w:sz w:val="24"/>
          <w:szCs w:val="24"/>
        </w:rPr>
        <w:t>”</w:t>
      </w:r>
      <w:r w:rsidR="00182924" w:rsidRPr="00F22F33">
        <w:rPr>
          <w:rFonts w:ascii="Arial" w:hAnsi="Arial" w:cs="Arial"/>
          <w:bCs/>
          <w:color w:val="000000" w:themeColor="text1"/>
          <w:sz w:val="24"/>
          <w:szCs w:val="24"/>
        </w:rPr>
        <w:t xml:space="preserve"> o </w:t>
      </w:r>
      <w:r w:rsidR="008B182A" w:rsidRPr="00F22F33">
        <w:rPr>
          <w:rFonts w:ascii="Arial" w:hAnsi="Arial" w:cs="Arial"/>
          <w:bCs/>
          <w:color w:val="000000" w:themeColor="text1"/>
          <w:sz w:val="24"/>
          <w:szCs w:val="24"/>
        </w:rPr>
        <w:t xml:space="preserve"> </w:t>
      </w:r>
      <w:r w:rsidR="00182924" w:rsidRPr="00F22F33">
        <w:rPr>
          <w:rFonts w:ascii="Arial" w:hAnsi="Arial" w:cs="Arial"/>
          <w:bCs/>
          <w:color w:val="000000" w:themeColor="text1"/>
          <w:sz w:val="24"/>
          <w:szCs w:val="24"/>
        </w:rPr>
        <w:t>altr</w:t>
      </w:r>
      <w:r w:rsidR="008B182A" w:rsidRPr="00F22F33">
        <w:rPr>
          <w:rFonts w:ascii="Arial" w:hAnsi="Arial" w:cs="Arial"/>
          <w:bCs/>
          <w:color w:val="000000" w:themeColor="text1"/>
          <w:sz w:val="24"/>
          <w:szCs w:val="24"/>
        </w:rPr>
        <w:t>e</w:t>
      </w:r>
      <w:r w:rsidR="00182924" w:rsidRPr="00F22F33">
        <w:rPr>
          <w:rFonts w:ascii="Arial" w:hAnsi="Arial" w:cs="Arial"/>
          <w:bCs/>
          <w:color w:val="000000" w:themeColor="text1"/>
          <w:sz w:val="24"/>
          <w:szCs w:val="24"/>
        </w:rPr>
        <w:t xml:space="preserve"> modalità; </w:t>
      </w:r>
      <w:r w:rsidR="00C15BB3" w:rsidRPr="00F22F33">
        <w:rPr>
          <w:rFonts w:ascii="Arial" w:hAnsi="Arial" w:cs="Arial"/>
          <w:bCs/>
          <w:color w:val="000000" w:themeColor="text1"/>
          <w:sz w:val="24"/>
          <w:szCs w:val="24"/>
        </w:rPr>
        <w:t xml:space="preserve"> </w:t>
      </w:r>
    </w:p>
    <w:p w14:paraId="196B662E" w14:textId="77777777" w:rsidR="00E25731" w:rsidRPr="00F22F33" w:rsidRDefault="00182924" w:rsidP="003B2613">
      <w:pPr>
        <w:spacing w:before="120" w:after="0" w:line="240" w:lineRule="auto"/>
        <w:jc w:val="both"/>
        <w:rPr>
          <w:rFonts w:ascii="Arial" w:hAnsi="Arial" w:cs="Arial"/>
          <w:bCs/>
          <w:color w:val="000000" w:themeColor="text1"/>
          <w:sz w:val="24"/>
          <w:szCs w:val="24"/>
        </w:rPr>
      </w:pPr>
      <w:r w:rsidRPr="00F22F33">
        <w:rPr>
          <w:rFonts w:ascii="Arial" w:hAnsi="Arial" w:cs="Arial"/>
          <w:b/>
          <w:bCs/>
          <w:color w:val="000000" w:themeColor="text1"/>
          <w:sz w:val="24"/>
          <w:szCs w:val="24"/>
        </w:rPr>
        <w:t>Identificazione dei rischi</w:t>
      </w:r>
      <w:r w:rsidR="005E2AD8" w:rsidRPr="00F22F33">
        <w:rPr>
          <w:rFonts w:ascii="Arial" w:hAnsi="Arial" w:cs="Arial"/>
          <w:b/>
          <w:bCs/>
          <w:color w:val="000000" w:themeColor="text1"/>
          <w:sz w:val="24"/>
          <w:szCs w:val="24"/>
        </w:rPr>
        <w:t>:</w:t>
      </w:r>
      <w:r w:rsidR="005E2AD8" w:rsidRPr="00F22F33">
        <w:rPr>
          <w:rFonts w:ascii="Arial" w:hAnsi="Arial" w:cs="Arial"/>
          <w:bCs/>
          <w:color w:val="000000" w:themeColor="text1"/>
          <w:sz w:val="24"/>
          <w:szCs w:val="24"/>
        </w:rPr>
        <w:t xml:space="preserve"> </w:t>
      </w:r>
    </w:p>
    <w:p w14:paraId="6B65C351" w14:textId="5B4F1B01" w:rsidR="005E2AD8" w:rsidRPr="00F22F33" w:rsidRDefault="00C15BB3" w:rsidP="00C15BB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essi sono formalizzati e documentati nella </w:t>
      </w:r>
      <w:proofErr w:type="gramStart"/>
      <w:r w:rsidRPr="00F22F33">
        <w:rPr>
          <w:rFonts w:ascii="Arial" w:hAnsi="Arial" w:cs="Arial"/>
          <w:bCs/>
          <w:color w:val="000000" w:themeColor="text1"/>
          <w:sz w:val="24"/>
          <w:szCs w:val="24"/>
        </w:rPr>
        <w:t>Colonna  G</w:t>
      </w:r>
      <w:proofErr w:type="gramEnd"/>
      <w:r w:rsidRPr="00F22F33">
        <w:rPr>
          <w:rFonts w:ascii="Arial" w:hAnsi="Arial" w:cs="Arial"/>
          <w:bCs/>
          <w:color w:val="000000" w:themeColor="text1"/>
          <w:sz w:val="24"/>
          <w:szCs w:val="24"/>
        </w:rPr>
        <w:t xml:space="preserve"> dell’allegato A</w:t>
      </w:r>
      <w:r w:rsidR="00683A18" w:rsidRPr="00F22F33">
        <w:rPr>
          <w:rFonts w:ascii="Arial" w:hAnsi="Arial" w:cs="Arial"/>
          <w:bCs/>
          <w:color w:val="000000" w:themeColor="text1"/>
          <w:sz w:val="24"/>
          <w:szCs w:val="24"/>
        </w:rPr>
        <w:t>.</w:t>
      </w:r>
      <w:r w:rsidRPr="00F22F33">
        <w:rPr>
          <w:rFonts w:ascii="Arial" w:hAnsi="Arial" w:cs="Arial"/>
          <w:bCs/>
          <w:color w:val="000000" w:themeColor="text1"/>
          <w:sz w:val="24"/>
          <w:szCs w:val="24"/>
        </w:rPr>
        <w:t xml:space="preserve">  </w:t>
      </w:r>
    </w:p>
    <w:p w14:paraId="6A2EA0E9" w14:textId="6C8B5B93" w:rsidR="005E2AD8" w:rsidRPr="00F22F33" w:rsidRDefault="00683A18"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  </w:t>
      </w:r>
    </w:p>
    <w:p w14:paraId="19DFF4D2" w14:textId="77777777" w:rsidR="006668DA" w:rsidRPr="00F22F33" w:rsidRDefault="00920EAF" w:rsidP="00841AB7">
      <w:pPr>
        <w:pStyle w:val="TitoloB"/>
        <w:keepNext/>
        <w:widowControl w:val="0"/>
        <w:spacing w:after="360" w:line="280" w:lineRule="exact"/>
        <w:ind w:left="360" w:right="0"/>
        <w:jc w:val="both"/>
        <w:outlineLvl w:val="1"/>
        <w:rPr>
          <w:color w:val="0F243E" w:themeColor="text2" w:themeShade="80"/>
          <w:sz w:val="24"/>
          <w:szCs w:val="24"/>
        </w:rPr>
      </w:pPr>
      <w:bookmarkStart w:id="83" w:name="_Toc25585730"/>
      <w:bookmarkStart w:id="84" w:name="_Toc131582818"/>
      <w:bookmarkStart w:id="85" w:name="_Toc131582927"/>
      <w:bookmarkStart w:id="86" w:name="_Toc131583546"/>
      <w:r w:rsidRPr="00F22F33">
        <w:rPr>
          <w:color w:val="0F243E" w:themeColor="text2" w:themeShade="80"/>
          <w:sz w:val="24"/>
          <w:szCs w:val="24"/>
        </w:rPr>
        <w:t>3.2.</w:t>
      </w:r>
      <w:r w:rsidR="00841AB7" w:rsidRPr="00F22F33">
        <w:rPr>
          <w:color w:val="0F243E" w:themeColor="text2" w:themeShade="80"/>
          <w:sz w:val="24"/>
          <w:szCs w:val="24"/>
        </w:rPr>
        <w:t xml:space="preserve"> </w:t>
      </w:r>
      <w:r w:rsidR="006668DA" w:rsidRPr="00F22F33">
        <w:rPr>
          <w:color w:val="0F243E" w:themeColor="text2" w:themeShade="80"/>
          <w:sz w:val="24"/>
          <w:szCs w:val="24"/>
        </w:rPr>
        <w:t>Analisi del rischio</w:t>
      </w:r>
      <w:bookmarkEnd w:id="83"/>
      <w:bookmarkEnd w:id="84"/>
      <w:bookmarkEnd w:id="85"/>
      <w:bookmarkEnd w:id="86"/>
    </w:p>
    <w:p w14:paraId="3FBFDE87" w14:textId="528CBC5B" w:rsidR="005D438E" w:rsidRPr="00F22F33" w:rsidRDefault="006668DA"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L’analisi del rischio</w:t>
      </w:r>
      <w:r w:rsidR="00683A18" w:rsidRPr="00F22F33">
        <w:rPr>
          <w:rFonts w:ascii="Arial" w:hAnsi="Arial" w:cs="Arial"/>
          <w:bCs/>
          <w:color w:val="000000" w:themeColor="text1"/>
          <w:sz w:val="24"/>
          <w:szCs w:val="24"/>
        </w:rPr>
        <w:t xml:space="preserve"> consiste nell’esame </w:t>
      </w:r>
      <w:proofErr w:type="gramStart"/>
      <w:r w:rsidR="00683A18" w:rsidRPr="00F22F33">
        <w:rPr>
          <w:rFonts w:ascii="Arial" w:hAnsi="Arial" w:cs="Arial"/>
          <w:bCs/>
          <w:color w:val="000000" w:themeColor="text1"/>
          <w:sz w:val="24"/>
          <w:szCs w:val="24"/>
        </w:rPr>
        <w:t xml:space="preserve">dei </w:t>
      </w:r>
      <w:r w:rsidR="005D438E" w:rsidRPr="00F22F33">
        <w:rPr>
          <w:rFonts w:ascii="Arial" w:hAnsi="Arial" w:cs="Arial"/>
          <w:bCs/>
          <w:color w:val="000000" w:themeColor="text1"/>
          <w:sz w:val="24"/>
          <w:szCs w:val="24"/>
        </w:rPr>
        <w:t xml:space="preserve"> cosiddetti</w:t>
      </w:r>
      <w:proofErr w:type="gramEnd"/>
      <w:r w:rsidR="005D438E" w:rsidRPr="00F22F33">
        <w:rPr>
          <w:rFonts w:ascii="Arial" w:hAnsi="Arial" w:cs="Arial"/>
          <w:bCs/>
          <w:color w:val="000000" w:themeColor="text1"/>
          <w:sz w:val="24"/>
          <w:szCs w:val="24"/>
        </w:rPr>
        <w:t xml:space="preserve"> </w:t>
      </w:r>
      <w:r w:rsidRPr="00F22F33">
        <w:rPr>
          <w:rFonts w:ascii="Arial" w:hAnsi="Arial" w:cs="Arial"/>
          <w:bCs/>
          <w:color w:val="000000" w:themeColor="text1"/>
          <w:sz w:val="24"/>
          <w:szCs w:val="24"/>
        </w:rPr>
        <w:t>“</w:t>
      </w:r>
      <w:r w:rsidR="005D438E" w:rsidRPr="00F22F33">
        <w:rPr>
          <w:rFonts w:ascii="Arial" w:hAnsi="Arial" w:cs="Arial"/>
          <w:bCs/>
          <w:color w:val="000000" w:themeColor="text1"/>
          <w:sz w:val="24"/>
          <w:szCs w:val="24"/>
        </w:rPr>
        <w:t>fattori abilitanti</w:t>
      </w:r>
      <w:r w:rsidRPr="00F22F33">
        <w:rPr>
          <w:rFonts w:ascii="Arial" w:hAnsi="Arial" w:cs="Arial"/>
          <w:bCs/>
          <w:color w:val="000000" w:themeColor="text1"/>
          <w:sz w:val="24"/>
          <w:szCs w:val="24"/>
        </w:rPr>
        <w:t>”</w:t>
      </w:r>
      <w:r w:rsidR="005D438E" w:rsidRPr="00F22F33">
        <w:rPr>
          <w:rFonts w:ascii="Arial" w:hAnsi="Arial" w:cs="Arial"/>
          <w:bCs/>
          <w:color w:val="000000" w:themeColor="text1"/>
          <w:sz w:val="24"/>
          <w:szCs w:val="24"/>
        </w:rPr>
        <w:t xml:space="preserve"> della corruzione</w:t>
      </w:r>
      <w:r w:rsidR="00683A18" w:rsidRPr="00F22F33">
        <w:rPr>
          <w:rFonts w:ascii="Arial" w:hAnsi="Arial" w:cs="Arial"/>
          <w:bCs/>
          <w:color w:val="000000" w:themeColor="text1"/>
          <w:sz w:val="24"/>
          <w:szCs w:val="24"/>
        </w:rPr>
        <w:t xml:space="preserve"> e nella </w:t>
      </w:r>
      <w:r w:rsidR="005D438E" w:rsidRPr="00F22F33">
        <w:rPr>
          <w:rFonts w:ascii="Arial" w:hAnsi="Arial" w:cs="Arial"/>
          <w:bCs/>
          <w:color w:val="000000" w:themeColor="text1"/>
          <w:sz w:val="24"/>
          <w:szCs w:val="24"/>
        </w:rPr>
        <w:t>stima</w:t>
      </w:r>
      <w:r w:rsidR="00683A18" w:rsidRPr="00F22F33">
        <w:rPr>
          <w:rFonts w:ascii="Arial" w:hAnsi="Arial" w:cs="Arial"/>
          <w:bCs/>
          <w:color w:val="000000" w:themeColor="text1"/>
          <w:sz w:val="24"/>
          <w:szCs w:val="24"/>
        </w:rPr>
        <w:t xml:space="preserve"> del</w:t>
      </w:r>
      <w:r w:rsidR="005D438E" w:rsidRPr="00F22F33">
        <w:rPr>
          <w:rFonts w:ascii="Arial" w:hAnsi="Arial" w:cs="Arial"/>
          <w:bCs/>
          <w:color w:val="000000" w:themeColor="text1"/>
          <w:sz w:val="24"/>
          <w:szCs w:val="24"/>
        </w:rPr>
        <w:t xml:space="preserve"> livello di esposizione </w:t>
      </w:r>
      <w:r w:rsidRPr="00F22F33">
        <w:rPr>
          <w:rFonts w:ascii="Arial" w:hAnsi="Arial" w:cs="Arial"/>
          <w:bCs/>
          <w:color w:val="000000" w:themeColor="text1"/>
          <w:sz w:val="24"/>
          <w:szCs w:val="24"/>
        </w:rPr>
        <w:t xml:space="preserve">al rischio </w:t>
      </w:r>
      <w:r w:rsidR="005D438E" w:rsidRPr="00F22F33">
        <w:rPr>
          <w:rFonts w:ascii="Arial" w:hAnsi="Arial" w:cs="Arial"/>
          <w:bCs/>
          <w:color w:val="000000" w:themeColor="text1"/>
          <w:sz w:val="24"/>
          <w:szCs w:val="24"/>
        </w:rPr>
        <w:t>dei processi e delle attività</w:t>
      </w:r>
      <w:r w:rsidRPr="00F22F33">
        <w:rPr>
          <w:rFonts w:ascii="Arial" w:hAnsi="Arial" w:cs="Arial"/>
          <w:bCs/>
          <w:color w:val="000000" w:themeColor="text1"/>
          <w:sz w:val="24"/>
          <w:szCs w:val="24"/>
        </w:rPr>
        <w:t xml:space="preserve">. </w:t>
      </w:r>
    </w:p>
    <w:p w14:paraId="3EC8AA66" w14:textId="77777777" w:rsidR="004F3FF4" w:rsidRPr="00F22F33" w:rsidRDefault="004F3FF4" w:rsidP="003B2613">
      <w:pPr>
        <w:spacing w:before="120" w:after="0" w:line="240" w:lineRule="auto"/>
        <w:jc w:val="both"/>
        <w:rPr>
          <w:rFonts w:ascii="Arial" w:hAnsi="Arial" w:cs="Arial"/>
          <w:bCs/>
          <w:color w:val="000000" w:themeColor="text1"/>
          <w:sz w:val="24"/>
          <w:szCs w:val="24"/>
          <w:u w:val="single"/>
        </w:rPr>
      </w:pPr>
    </w:p>
    <w:p w14:paraId="333DDE3A" w14:textId="4ADE5D03" w:rsidR="008D0804" w:rsidRPr="00F22F33" w:rsidRDefault="006668DA" w:rsidP="003B2613">
      <w:pPr>
        <w:spacing w:before="120" w:after="0" w:line="240" w:lineRule="auto"/>
        <w:jc w:val="both"/>
        <w:rPr>
          <w:rFonts w:ascii="Arial" w:hAnsi="Arial" w:cs="Arial"/>
          <w:b/>
          <w:bCs/>
          <w:color w:val="000000" w:themeColor="text1"/>
          <w:sz w:val="24"/>
          <w:szCs w:val="24"/>
        </w:rPr>
      </w:pPr>
      <w:r w:rsidRPr="00F22F33">
        <w:rPr>
          <w:rFonts w:ascii="Arial" w:hAnsi="Arial" w:cs="Arial"/>
          <w:b/>
          <w:bCs/>
          <w:color w:val="000000" w:themeColor="text1"/>
          <w:sz w:val="24"/>
          <w:szCs w:val="24"/>
        </w:rPr>
        <w:t>F</w:t>
      </w:r>
      <w:r w:rsidR="005D438E" w:rsidRPr="00F22F33">
        <w:rPr>
          <w:rFonts w:ascii="Arial" w:hAnsi="Arial" w:cs="Arial"/>
          <w:b/>
          <w:bCs/>
          <w:color w:val="000000" w:themeColor="text1"/>
          <w:sz w:val="24"/>
          <w:szCs w:val="24"/>
        </w:rPr>
        <w:t>attori abilitanti</w:t>
      </w:r>
      <w:r w:rsidR="00BD1B97" w:rsidRPr="00F22F33">
        <w:rPr>
          <w:rFonts w:ascii="Arial" w:hAnsi="Arial" w:cs="Arial"/>
          <w:b/>
          <w:bCs/>
          <w:color w:val="000000" w:themeColor="text1"/>
          <w:sz w:val="24"/>
          <w:szCs w:val="24"/>
        </w:rPr>
        <w:t xml:space="preserve"> derivano da: </w:t>
      </w:r>
    </w:p>
    <w:p w14:paraId="706CBA06" w14:textId="56A5172F" w:rsidR="006668DA" w:rsidRPr="00F22F33" w:rsidRDefault="00BD1B97"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 </w:t>
      </w:r>
      <w:r w:rsidR="006668DA" w:rsidRPr="00F22F33">
        <w:rPr>
          <w:rFonts w:ascii="Arial" w:hAnsi="Arial" w:cs="Arial"/>
          <w:bCs/>
          <w:color w:val="000000" w:themeColor="text1"/>
          <w:sz w:val="24"/>
          <w:szCs w:val="24"/>
        </w:rPr>
        <w:t xml:space="preserve">assenza </w:t>
      </w:r>
      <w:r w:rsidR="005D438E" w:rsidRPr="00F22F33">
        <w:rPr>
          <w:rFonts w:ascii="Arial" w:hAnsi="Arial" w:cs="Arial"/>
          <w:bCs/>
          <w:color w:val="000000" w:themeColor="text1"/>
          <w:sz w:val="24"/>
          <w:szCs w:val="24"/>
        </w:rPr>
        <w:t xml:space="preserve">di misure di trattamento del rischio (controlli): </w:t>
      </w:r>
      <w:r w:rsidR="00EC2535" w:rsidRPr="00F22F33">
        <w:rPr>
          <w:rFonts w:ascii="Arial" w:hAnsi="Arial" w:cs="Arial"/>
          <w:bCs/>
          <w:color w:val="000000" w:themeColor="text1"/>
          <w:sz w:val="24"/>
          <w:szCs w:val="24"/>
        </w:rPr>
        <w:t xml:space="preserve">si deve </w:t>
      </w:r>
      <w:r w:rsidR="005D438E" w:rsidRPr="00F22F33">
        <w:rPr>
          <w:rFonts w:ascii="Arial" w:hAnsi="Arial" w:cs="Arial"/>
          <w:bCs/>
          <w:color w:val="000000" w:themeColor="text1"/>
          <w:sz w:val="24"/>
          <w:szCs w:val="24"/>
        </w:rPr>
        <w:t>verifica</w:t>
      </w:r>
      <w:r w:rsidR="00EC2535" w:rsidRPr="00F22F33">
        <w:rPr>
          <w:rFonts w:ascii="Arial" w:hAnsi="Arial" w:cs="Arial"/>
          <w:bCs/>
          <w:color w:val="000000" w:themeColor="text1"/>
          <w:sz w:val="24"/>
          <w:szCs w:val="24"/>
        </w:rPr>
        <w:t xml:space="preserve">re </w:t>
      </w:r>
      <w:r w:rsidR="005D438E" w:rsidRPr="00F22F33">
        <w:rPr>
          <w:rFonts w:ascii="Arial" w:hAnsi="Arial" w:cs="Arial"/>
          <w:bCs/>
          <w:color w:val="000000" w:themeColor="text1"/>
          <w:sz w:val="24"/>
          <w:szCs w:val="24"/>
        </w:rPr>
        <w:t>se siano già stati predisposti</w:t>
      </w:r>
      <w:r w:rsidR="00EC2535" w:rsidRPr="00F22F33">
        <w:rPr>
          <w:rFonts w:ascii="Arial" w:hAnsi="Arial" w:cs="Arial"/>
          <w:bCs/>
          <w:color w:val="000000" w:themeColor="text1"/>
          <w:sz w:val="24"/>
          <w:szCs w:val="24"/>
        </w:rPr>
        <w:t>, e con quale efficacia,</w:t>
      </w:r>
      <w:r w:rsidR="005D438E" w:rsidRPr="00F22F33">
        <w:rPr>
          <w:rFonts w:ascii="Arial" w:hAnsi="Arial" w:cs="Arial"/>
          <w:bCs/>
          <w:color w:val="000000" w:themeColor="text1"/>
          <w:sz w:val="24"/>
          <w:szCs w:val="24"/>
        </w:rPr>
        <w:t xml:space="preserve"> strumenti di controllo </w:t>
      </w:r>
      <w:r w:rsidR="00EC2535" w:rsidRPr="00F22F33">
        <w:rPr>
          <w:rFonts w:ascii="Arial" w:hAnsi="Arial" w:cs="Arial"/>
          <w:bCs/>
          <w:color w:val="000000" w:themeColor="text1"/>
          <w:sz w:val="24"/>
          <w:szCs w:val="24"/>
        </w:rPr>
        <w:t xml:space="preserve">degli </w:t>
      </w:r>
      <w:r w:rsidR="005D438E" w:rsidRPr="00F22F33">
        <w:rPr>
          <w:rFonts w:ascii="Arial" w:hAnsi="Arial" w:cs="Arial"/>
          <w:bCs/>
          <w:color w:val="000000" w:themeColor="text1"/>
          <w:sz w:val="24"/>
          <w:szCs w:val="24"/>
        </w:rPr>
        <w:t xml:space="preserve">eventi rischiosi; </w:t>
      </w:r>
    </w:p>
    <w:p w14:paraId="162970D1" w14:textId="77777777" w:rsidR="006668DA" w:rsidRPr="00F22F33" w:rsidRDefault="005D438E"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mancanza di trasparenza; </w:t>
      </w:r>
    </w:p>
    <w:p w14:paraId="4ED9C67C" w14:textId="77777777" w:rsidR="006668DA" w:rsidRPr="00F22F33" w:rsidRDefault="005D438E"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eccessiva regolamentazione, complessità e scarsa chiarezza della normativa di riferimento; </w:t>
      </w:r>
    </w:p>
    <w:p w14:paraId="13A0649B" w14:textId="77777777" w:rsidR="006668DA" w:rsidRPr="00F22F33" w:rsidRDefault="005D438E"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esercizio prolungato ed esclusivo della responsabilità di un processo da parte di pochi o di un unico soggetto; </w:t>
      </w:r>
    </w:p>
    <w:p w14:paraId="0B4054D2" w14:textId="77777777" w:rsidR="006668DA" w:rsidRPr="00F22F33" w:rsidRDefault="005D438E"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scarsa responsabilizzazione interna; </w:t>
      </w:r>
    </w:p>
    <w:p w14:paraId="3E02ACD8" w14:textId="77777777" w:rsidR="006668DA" w:rsidRPr="00F22F33" w:rsidRDefault="005D438E"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inadeguatezza o assenza di competenze del personale addetto ai processi; </w:t>
      </w:r>
    </w:p>
    <w:p w14:paraId="07ADA8EC" w14:textId="77777777" w:rsidR="006668DA" w:rsidRPr="00F22F33" w:rsidRDefault="005D438E"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inadeguata diffusione della cultura della legalità; </w:t>
      </w:r>
    </w:p>
    <w:p w14:paraId="2C362008" w14:textId="77777777" w:rsidR="005D438E" w:rsidRPr="00F22F33" w:rsidRDefault="005D438E"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mancata attuazione del principio di distinzione tra politica e amministrazione.  </w:t>
      </w:r>
    </w:p>
    <w:p w14:paraId="2DF90186" w14:textId="77777777" w:rsidR="00BD1B97" w:rsidRPr="00F22F33" w:rsidRDefault="00BD1B97" w:rsidP="00A22C24">
      <w:pPr>
        <w:spacing w:before="120" w:after="0" w:line="240" w:lineRule="auto"/>
        <w:jc w:val="both"/>
        <w:rPr>
          <w:rFonts w:ascii="Arial" w:hAnsi="Arial" w:cs="Arial"/>
          <w:b/>
          <w:bCs/>
          <w:color w:val="000000" w:themeColor="text1"/>
          <w:sz w:val="24"/>
          <w:szCs w:val="24"/>
        </w:rPr>
      </w:pPr>
    </w:p>
    <w:p w14:paraId="0D3CDA53" w14:textId="6F65C30F" w:rsidR="008D0804" w:rsidRPr="00F22F33" w:rsidRDefault="00F56383" w:rsidP="00A22C24">
      <w:pPr>
        <w:spacing w:before="120" w:after="0" w:line="240" w:lineRule="auto"/>
        <w:jc w:val="both"/>
        <w:rPr>
          <w:rFonts w:ascii="Arial" w:hAnsi="Arial" w:cs="Arial"/>
          <w:b/>
          <w:bCs/>
          <w:color w:val="000000" w:themeColor="text1"/>
          <w:sz w:val="24"/>
          <w:szCs w:val="24"/>
        </w:rPr>
      </w:pPr>
      <w:r w:rsidRPr="00F22F33">
        <w:rPr>
          <w:rFonts w:ascii="Arial" w:hAnsi="Arial" w:cs="Arial"/>
          <w:b/>
          <w:bCs/>
          <w:color w:val="000000" w:themeColor="text1"/>
          <w:sz w:val="24"/>
          <w:szCs w:val="24"/>
        </w:rPr>
        <w:lastRenderedPageBreak/>
        <w:t>S</w:t>
      </w:r>
      <w:r w:rsidR="005D438E" w:rsidRPr="00F22F33">
        <w:rPr>
          <w:rFonts w:ascii="Arial" w:hAnsi="Arial" w:cs="Arial"/>
          <w:b/>
          <w:bCs/>
          <w:color w:val="000000" w:themeColor="text1"/>
          <w:sz w:val="24"/>
          <w:szCs w:val="24"/>
        </w:rPr>
        <w:t>tima del livello di rischio</w:t>
      </w:r>
    </w:p>
    <w:p w14:paraId="33B6120B" w14:textId="4B3D653B" w:rsidR="006544D1" w:rsidRDefault="00BD1B97" w:rsidP="00BD1B97">
      <w:pPr>
        <w:spacing w:before="120" w:after="0" w:line="240" w:lineRule="auto"/>
        <w:jc w:val="both"/>
        <w:rPr>
          <w:rFonts w:ascii="Arial" w:hAnsi="Arial" w:cs="Arial"/>
          <w:color w:val="000000" w:themeColor="text1"/>
          <w:sz w:val="24"/>
          <w:szCs w:val="24"/>
        </w:rPr>
      </w:pPr>
      <w:r w:rsidRPr="00F22F33">
        <w:rPr>
          <w:rFonts w:ascii="Arial" w:hAnsi="Arial" w:cs="Arial"/>
          <w:color w:val="000000" w:themeColor="text1"/>
          <w:sz w:val="24"/>
          <w:szCs w:val="24"/>
        </w:rPr>
        <w:t xml:space="preserve">L’analisi dell’esposizione al rischio è stimata in base ad un approccio qualitativo, come riportato </w:t>
      </w:r>
      <w:proofErr w:type="spellStart"/>
      <w:proofErr w:type="gramStart"/>
      <w:r w:rsidRPr="00F22F33">
        <w:rPr>
          <w:rFonts w:ascii="Arial" w:hAnsi="Arial" w:cs="Arial"/>
          <w:color w:val="000000" w:themeColor="text1"/>
          <w:sz w:val="24"/>
          <w:szCs w:val="24"/>
        </w:rPr>
        <w:t>ne</w:t>
      </w:r>
      <w:r w:rsidR="008D0804" w:rsidRPr="00F22F33">
        <w:rPr>
          <w:rFonts w:ascii="Arial" w:hAnsi="Arial" w:cs="Arial"/>
          <w:color w:val="000000" w:themeColor="text1"/>
          <w:sz w:val="24"/>
          <w:szCs w:val="24"/>
        </w:rPr>
        <w:t>I</w:t>
      </w:r>
      <w:r w:rsidRPr="00F22F33">
        <w:rPr>
          <w:rFonts w:ascii="Arial" w:hAnsi="Arial" w:cs="Arial"/>
          <w:color w:val="000000" w:themeColor="text1"/>
          <w:sz w:val="24"/>
          <w:szCs w:val="24"/>
        </w:rPr>
        <w:t>l’Allegato</w:t>
      </w:r>
      <w:proofErr w:type="spellEnd"/>
      <w:proofErr w:type="gramEnd"/>
      <w:r w:rsidRPr="00F22F33">
        <w:rPr>
          <w:rFonts w:ascii="Arial" w:hAnsi="Arial" w:cs="Arial"/>
          <w:color w:val="000000" w:themeColor="text1"/>
          <w:sz w:val="24"/>
          <w:szCs w:val="24"/>
        </w:rPr>
        <w:t xml:space="preserve"> B “Analisi dei rischi”. </w:t>
      </w:r>
    </w:p>
    <w:p w14:paraId="0D615C35" w14:textId="77777777" w:rsidR="00BA4C01" w:rsidRPr="00F22F33" w:rsidRDefault="00BA4C01" w:rsidP="00BD1B97">
      <w:pPr>
        <w:spacing w:before="120" w:after="0" w:line="240" w:lineRule="auto"/>
        <w:jc w:val="both"/>
        <w:rPr>
          <w:rFonts w:ascii="Arial" w:hAnsi="Arial" w:cs="Arial"/>
          <w:bCs/>
          <w:color w:val="000000" w:themeColor="text1"/>
          <w:sz w:val="24"/>
          <w:szCs w:val="24"/>
        </w:rPr>
      </w:pPr>
    </w:p>
    <w:p w14:paraId="0A104257" w14:textId="36A8D18F" w:rsidR="004F3FF4" w:rsidRPr="00F22F33" w:rsidRDefault="001E24C9" w:rsidP="00BA4C01">
      <w:pPr>
        <w:spacing w:before="120" w:after="0" w:line="240" w:lineRule="auto"/>
        <w:ind w:firstLine="708"/>
        <w:jc w:val="both"/>
        <w:rPr>
          <w:rFonts w:ascii="Arial" w:hAnsi="Arial" w:cs="Arial"/>
          <w:b/>
          <w:bCs/>
          <w:color w:val="000000" w:themeColor="text1"/>
          <w:sz w:val="24"/>
          <w:szCs w:val="24"/>
        </w:rPr>
      </w:pPr>
      <w:r>
        <w:rPr>
          <w:rFonts w:ascii="Arial" w:hAnsi="Arial" w:cs="Arial"/>
          <w:b/>
          <w:bCs/>
          <w:color w:val="000000" w:themeColor="text1"/>
          <w:sz w:val="24"/>
          <w:szCs w:val="24"/>
        </w:rPr>
        <w:t xml:space="preserve">3.2.1 </w:t>
      </w:r>
      <w:r w:rsidR="00B26ADA">
        <w:rPr>
          <w:rFonts w:ascii="Arial" w:hAnsi="Arial" w:cs="Arial"/>
          <w:b/>
          <w:bCs/>
          <w:color w:val="000000" w:themeColor="text1"/>
          <w:sz w:val="24"/>
          <w:szCs w:val="24"/>
        </w:rPr>
        <w:tab/>
      </w:r>
      <w:r w:rsidR="006544D1" w:rsidRPr="00F22F33">
        <w:rPr>
          <w:rFonts w:ascii="Arial" w:hAnsi="Arial" w:cs="Arial"/>
          <w:b/>
          <w:bCs/>
          <w:color w:val="000000" w:themeColor="text1"/>
          <w:sz w:val="24"/>
          <w:szCs w:val="24"/>
        </w:rPr>
        <w:t>C</w:t>
      </w:r>
      <w:r w:rsidR="005D438E" w:rsidRPr="00F22F33">
        <w:rPr>
          <w:rFonts w:ascii="Arial" w:hAnsi="Arial" w:cs="Arial"/>
          <w:b/>
          <w:bCs/>
          <w:color w:val="000000" w:themeColor="text1"/>
          <w:sz w:val="24"/>
          <w:szCs w:val="24"/>
        </w:rPr>
        <w:t>riteri di valutazione</w:t>
      </w:r>
    </w:p>
    <w:p w14:paraId="78EE64A4" w14:textId="0B1ACD00" w:rsidR="004F3FF4" w:rsidRPr="00F22F33" w:rsidRDefault="00BD1B97"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Sono stati usati i seguenti indicatori di rischio a</w:t>
      </w:r>
      <w:r w:rsidR="005D438E" w:rsidRPr="00F22F33">
        <w:rPr>
          <w:rFonts w:ascii="Arial" w:hAnsi="Arial" w:cs="Arial"/>
          <w:bCs/>
          <w:color w:val="000000" w:themeColor="text1"/>
          <w:sz w:val="24"/>
          <w:szCs w:val="24"/>
        </w:rPr>
        <w:t>mpliabili o modificabili</w:t>
      </w:r>
      <w:r w:rsidRPr="00F22F33">
        <w:rPr>
          <w:rFonts w:ascii="Arial" w:hAnsi="Arial" w:cs="Arial"/>
          <w:bCs/>
          <w:color w:val="000000" w:themeColor="text1"/>
          <w:sz w:val="24"/>
          <w:szCs w:val="24"/>
        </w:rPr>
        <w:t>, come proposti dal PNA 2019:</w:t>
      </w:r>
      <w:r w:rsidR="004F3FF4" w:rsidRPr="00F22F33">
        <w:rPr>
          <w:rFonts w:ascii="Arial" w:hAnsi="Arial" w:cs="Arial"/>
          <w:bCs/>
          <w:color w:val="000000" w:themeColor="text1"/>
          <w:sz w:val="24"/>
          <w:szCs w:val="24"/>
        </w:rPr>
        <w:t xml:space="preserve"> </w:t>
      </w:r>
    </w:p>
    <w:p w14:paraId="6C97D0ED" w14:textId="77777777" w:rsidR="005D438E" w:rsidRPr="00F22F33" w:rsidRDefault="00960D5B"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Gli indicatori sono: </w:t>
      </w:r>
    </w:p>
    <w:p w14:paraId="1736FCED" w14:textId="77777777" w:rsidR="00346FFB" w:rsidRPr="00F22F33" w:rsidRDefault="005D438E"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F22F33">
        <w:rPr>
          <w:rFonts w:ascii="Arial" w:hAnsi="Arial" w:cs="Arial"/>
          <w:b/>
          <w:bCs/>
          <w:color w:val="000000" w:themeColor="text1"/>
          <w:sz w:val="24"/>
          <w:szCs w:val="24"/>
        </w:rPr>
        <w:t>livello di interesse “esterno”</w:t>
      </w:r>
      <w:r w:rsidRPr="00F22F33">
        <w:rPr>
          <w:rFonts w:ascii="Arial" w:hAnsi="Arial" w:cs="Arial"/>
          <w:bCs/>
          <w:color w:val="000000" w:themeColor="text1"/>
          <w:sz w:val="24"/>
          <w:szCs w:val="24"/>
        </w:rPr>
        <w:t>: la presenza di interessi</w:t>
      </w:r>
      <w:r w:rsidR="00346FFB" w:rsidRPr="00F22F33">
        <w:rPr>
          <w:rFonts w:ascii="Arial" w:hAnsi="Arial" w:cs="Arial"/>
          <w:bCs/>
          <w:color w:val="000000" w:themeColor="text1"/>
          <w:sz w:val="24"/>
          <w:szCs w:val="24"/>
        </w:rPr>
        <w:t xml:space="preserve"> rilevanti, </w:t>
      </w:r>
      <w:r w:rsidRPr="00F22F33">
        <w:rPr>
          <w:rFonts w:ascii="Arial" w:hAnsi="Arial" w:cs="Arial"/>
          <w:bCs/>
          <w:color w:val="000000" w:themeColor="text1"/>
          <w:sz w:val="24"/>
          <w:szCs w:val="24"/>
        </w:rPr>
        <w:t>economici</w:t>
      </w:r>
      <w:r w:rsidR="00346FFB" w:rsidRPr="00F22F33">
        <w:rPr>
          <w:rFonts w:ascii="Arial" w:hAnsi="Arial" w:cs="Arial"/>
          <w:bCs/>
          <w:color w:val="000000" w:themeColor="text1"/>
          <w:sz w:val="24"/>
          <w:szCs w:val="24"/>
        </w:rPr>
        <w:t xml:space="preserve"> o meno,</w:t>
      </w:r>
      <w:r w:rsidRPr="00F22F33">
        <w:rPr>
          <w:rFonts w:ascii="Arial" w:hAnsi="Arial" w:cs="Arial"/>
          <w:bCs/>
          <w:color w:val="000000" w:themeColor="text1"/>
          <w:sz w:val="24"/>
          <w:szCs w:val="24"/>
        </w:rPr>
        <w:t xml:space="preserve"> e di benefici per i destinatari determina un incremento del rischio; </w:t>
      </w:r>
    </w:p>
    <w:p w14:paraId="3391C812" w14:textId="77777777" w:rsidR="00346FFB" w:rsidRPr="00F22F33" w:rsidRDefault="005D438E"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F22F33">
        <w:rPr>
          <w:rFonts w:ascii="Arial" w:hAnsi="Arial" w:cs="Arial"/>
          <w:b/>
          <w:bCs/>
          <w:color w:val="000000" w:themeColor="text1"/>
          <w:sz w:val="24"/>
          <w:szCs w:val="24"/>
        </w:rPr>
        <w:t>grado di discrezionalità del decisore interno</w:t>
      </w:r>
      <w:r w:rsidRPr="00F22F33">
        <w:rPr>
          <w:rFonts w:ascii="Arial" w:hAnsi="Arial" w:cs="Arial"/>
          <w:bCs/>
          <w:color w:val="000000" w:themeColor="text1"/>
          <w:sz w:val="24"/>
          <w:szCs w:val="24"/>
        </w:rPr>
        <w:t xml:space="preserve">: un processo decisionale altamente discrezionale </w:t>
      </w:r>
      <w:r w:rsidR="00827119" w:rsidRPr="00F22F33">
        <w:rPr>
          <w:rFonts w:ascii="Arial" w:hAnsi="Arial" w:cs="Arial"/>
          <w:bCs/>
          <w:color w:val="000000" w:themeColor="text1"/>
          <w:sz w:val="24"/>
          <w:szCs w:val="24"/>
        </w:rPr>
        <w:t>si caratterizza per un livello di</w:t>
      </w:r>
      <w:r w:rsidRPr="00F22F33">
        <w:rPr>
          <w:rFonts w:ascii="Arial" w:hAnsi="Arial" w:cs="Arial"/>
          <w:bCs/>
          <w:color w:val="000000" w:themeColor="text1"/>
          <w:sz w:val="24"/>
          <w:szCs w:val="24"/>
        </w:rPr>
        <w:t xml:space="preserve"> rischio </w:t>
      </w:r>
      <w:r w:rsidR="00827119" w:rsidRPr="00F22F33">
        <w:rPr>
          <w:rFonts w:ascii="Arial" w:hAnsi="Arial" w:cs="Arial"/>
          <w:bCs/>
          <w:color w:val="000000" w:themeColor="text1"/>
          <w:sz w:val="24"/>
          <w:szCs w:val="24"/>
        </w:rPr>
        <w:t xml:space="preserve">maggiore </w:t>
      </w:r>
      <w:r w:rsidRPr="00F22F33">
        <w:rPr>
          <w:rFonts w:ascii="Arial" w:hAnsi="Arial" w:cs="Arial"/>
          <w:bCs/>
          <w:color w:val="000000" w:themeColor="text1"/>
          <w:sz w:val="24"/>
          <w:szCs w:val="24"/>
        </w:rPr>
        <w:t xml:space="preserve">rispetto ad un processo decisionale altamente vincolato; </w:t>
      </w:r>
    </w:p>
    <w:p w14:paraId="7AB52850" w14:textId="77777777" w:rsidR="00346FFB" w:rsidRPr="00F22F33" w:rsidRDefault="005D438E"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F22F33">
        <w:rPr>
          <w:rFonts w:ascii="Arial" w:hAnsi="Arial" w:cs="Arial"/>
          <w:b/>
          <w:bCs/>
          <w:color w:val="000000" w:themeColor="text1"/>
          <w:sz w:val="24"/>
          <w:szCs w:val="24"/>
        </w:rPr>
        <w:t>manifestazione di eventi corruttivi in passato</w:t>
      </w:r>
      <w:r w:rsidRPr="00F22F33">
        <w:rPr>
          <w:rFonts w:ascii="Arial" w:hAnsi="Arial" w:cs="Arial"/>
          <w:bCs/>
          <w:color w:val="000000" w:themeColor="text1"/>
          <w:sz w:val="24"/>
          <w:szCs w:val="24"/>
        </w:rPr>
        <w:t xml:space="preserve">: se l’attività è stata già oggetto di eventi corruttivi nell’amministrazione o in altre realtà simili, il rischio aumenta poiché quella attività ha caratteristiche che rendono </w:t>
      </w:r>
      <w:r w:rsidR="00827119" w:rsidRPr="00F22F33">
        <w:rPr>
          <w:rFonts w:ascii="Arial" w:hAnsi="Arial" w:cs="Arial"/>
          <w:bCs/>
          <w:color w:val="000000" w:themeColor="text1"/>
          <w:sz w:val="24"/>
          <w:szCs w:val="24"/>
        </w:rPr>
        <w:t xml:space="preserve">praticabile il malaffare; </w:t>
      </w:r>
    </w:p>
    <w:p w14:paraId="12D873BC" w14:textId="77777777" w:rsidR="00346FFB" w:rsidRPr="00F22F33" w:rsidRDefault="00960D5B"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F22F33">
        <w:rPr>
          <w:rFonts w:ascii="Arial" w:hAnsi="Arial" w:cs="Arial"/>
          <w:b/>
          <w:bCs/>
          <w:color w:val="000000" w:themeColor="text1"/>
          <w:sz w:val="24"/>
          <w:szCs w:val="24"/>
        </w:rPr>
        <w:t>trasparenza/</w:t>
      </w:r>
      <w:r w:rsidR="005D438E" w:rsidRPr="00F22F33">
        <w:rPr>
          <w:rFonts w:ascii="Arial" w:hAnsi="Arial" w:cs="Arial"/>
          <w:b/>
          <w:bCs/>
          <w:color w:val="000000" w:themeColor="text1"/>
          <w:sz w:val="24"/>
          <w:szCs w:val="24"/>
        </w:rPr>
        <w:t>opacità del processo decisionale</w:t>
      </w:r>
      <w:r w:rsidR="005D438E" w:rsidRPr="00F22F33">
        <w:rPr>
          <w:rFonts w:ascii="Arial" w:hAnsi="Arial" w:cs="Arial"/>
          <w:bCs/>
          <w:color w:val="000000" w:themeColor="text1"/>
          <w:sz w:val="24"/>
          <w:szCs w:val="24"/>
        </w:rPr>
        <w:t xml:space="preserve">: l’adozione di strumenti di trasparenza sostanziale, e non solo formale, </w:t>
      </w:r>
      <w:r w:rsidR="00827119" w:rsidRPr="00F22F33">
        <w:rPr>
          <w:rFonts w:ascii="Arial" w:hAnsi="Arial" w:cs="Arial"/>
          <w:bCs/>
          <w:color w:val="000000" w:themeColor="text1"/>
          <w:sz w:val="24"/>
          <w:szCs w:val="24"/>
        </w:rPr>
        <w:t>abbassa</w:t>
      </w:r>
      <w:r w:rsidR="005D438E" w:rsidRPr="00F22F33">
        <w:rPr>
          <w:rFonts w:ascii="Arial" w:hAnsi="Arial" w:cs="Arial"/>
          <w:bCs/>
          <w:color w:val="000000" w:themeColor="text1"/>
          <w:sz w:val="24"/>
          <w:szCs w:val="24"/>
        </w:rPr>
        <w:t xml:space="preserve"> il rischio; </w:t>
      </w:r>
    </w:p>
    <w:p w14:paraId="14DCB1B7" w14:textId="77777777" w:rsidR="00346FFB" w:rsidRPr="00F22F33" w:rsidRDefault="005D438E"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F22F33">
        <w:rPr>
          <w:rFonts w:ascii="Arial" w:hAnsi="Arial" w:cs="Arial"/>
          <w:b/>
          <w:bCs/>
          <w:color w:val="000000" w:themeColor="text1"/>
          <w:sz w:val="24"/>
          <w:szCs w:val="24"/>
        </w:rPr>
        <w:t>livello di collaborazione del responsabile del processo nell</w:t>
      </w:r>
      <w:r w:rsidR="00827119" w:rsidRPr="00F22F33">
        <w:rPr>
          <w:rFonts w:ascii="Arial" w:hAnsi="Arial" w:cs="Arial"/>
          <w:b/>
          <w:bCs/>
          <w:color w:val="000000" w:themeColor="text1"/>
          <w:sz w:val="24"/>
          <w:szCs w:val="24"/>
        </w:rPr>
        <w:t>’elaborazione</w:t>
      </w:r>
      <w:r w:rsidRPr="00F22F33">
        <w:rPr>
          <w:rFonts w:ascii="Arial" w:hAnsi="Arial" w:cs="Arial"/>
          <w:b/>
          <w:bCs/>
          <w:color w:val="000000" w:themeColor="text1"/>
          <w:sz w:val="24"/>
          <w:szCs w:val="24"/>
        </w:rPr>
        <w:t>, aggiornamento e monitoraggio del piano</w:t>
      </w:r>
      <w:r w:rsidRPr="00F22F33">
        <w:rPr>
          <w:rFonts w:ascii="Arial" w:hAnsi="Arial" w:cs="Arial"/>
          <w:bCs/>
          <w:color w:val="000000" w:themeColor="text1"/>
          <w:sz w:val="24"/>
          <w:szCs w:val="24"/>
        </w:rPr>
        <w:t>: la scarsa collaborazione può segnalare un deficit di attenzione al tema della corruzione o</w:t>
      </w:r>
      <w:r w:rsidR="00346FFB" w:rsidRPr="00F22F33">
        <w:rPr>
          <w:rFonts w:ascii="Arial" w:hAnsi="Arial" w:cs="Arial"/>
          <w:bCs/>
          <w:color w:val="000000" w:themeColor="text1"/>
          <w:sz w:val="24"/>
          <w:szCs w:val="24"/>
        </w:rPr>
        <w:t>,</w:t>
      </w:r>
      <w:r w:rsidRPr="00F22F33">
        <w:rPr>
          <w:rFonts w:ascii="Arial" w:hAnsi="Arial" w:cs="Arial"/>
          <w:bCs/>
          <w:color w:val="000000" w:themeColor="text1"/>
          <w:sz w:val="24"/>
          <w:szCs w:val="24"/>
        </w:rPr>
        <w:t xml:space="preserve"> comunque</w:t>
      </w:r>
      <w:r w:rsidR="00346FFB" w:rsidRPr="00F22F33">
        <w:rPr>
          <w:rFonts w:ascii="Arial" w:hAnsi="Arial" w:cs="Arial"/>
          <w:bCs/>
          <w:color w:val="000000" w:themeColor="text1"/>
          <w:sz w:val="24"/>
          <w:szCs w:val="24"/>
        </w:rPr>
        <w:t>,</w:t>
      </w:r>
      <w:r w:rsidRPr="00F22F33">
        <w:rPr>
          <w:rFonts w:ascii="Arial" w:hAnsi="Arial" w:cs="Arial"/>
          <w:bCs/>
          <w:color w:val="000000" w:themeColor="text1"/>
          <w:sz w:val="24"/>
          <w:szCs w:val="24"/>
        </w:rPr>
        <w:t xml:space="preserve"> </w:t>
      </w:r>
      <w:r w:rsidR="00346FFB" w:rsidRPr="00F22F33">
        <w:rPr>
          <w:rFonts w:ascii="Arial" w:hAnsi="Arial" w:cs="Arial"/>
          <w:bCs/>
          <w:color w:val="000000" w:themeColor="text1"/>
          <w:sz w:val="24"/>
          <w:szCs w:val="24"/>
        </w:rPr>
        <w:t xml:space="preserve">determinare </w:t>
      </w:r>
      <w:r w:rsidRPr="00F22F33">
        <w:rPr>
          <w:rFonts w:ascii="Arial" w:hAnsi="Arial" w:cs="Arial"/>
          <w:bCs/>
          <w:color w:val="000000" w:themeColor="text1"/>
          <w:sz w:val="24"/>
          <w:szCs w:val="24"/>
        </w:rPr>
        <w:t>una</w:t>
      </w:r>
      <w:r w:rsidR="00346FFB" w:rsidRPr="00F22F33">
        <w:rPr>
          <w:rFonts w:ascii="Arial" w:hAnsi="Arial" w:cs="Arial"/>
          <w:bCs/>
          <w:color w:val="000000" w:themeColor="text1"/>
          <w:sz w:val="24"/>
          <w:szCs w:val="24"/>
        </w:rPr>
        <w:t xml:space="preserve"> certa </w:t>
      </w:r>
      <w:r w:rsidRPr="00F22F33">
        <w:rPr>
          <w:rFonts w:ascii="Arial" w:hAnsi="Arial" w:cs="Arial"/>
          <w:bCs/>
          <w:color w:val="000000" w:themeColor="text1"/>
          <w:sz w:val="24"/>
          <w:szCs w:val="24"/>
        </w:rPr>
        <w:t xml:space="preserve">opacità sul reale </w:t>
      </w:r>
      <w:r w:rsidR="00346FFB" w:rsidRPr="00F22F33">
        <w:rPr>
          <w:rFonts w:ascii="Arial" w:hAnsi="Arial" w:cs="Arial"/>
          <w:bCs/>
          <w:color w:val="000000" w:themeColor="text1"/>
          <w:sz w:val="24"/>
          <w:szCs w:val="24"/>
        </w:rPr>
        <w:t xml:space="preserve">livello </w:t>
      </w:r>
      <w:r w:rsidRPr="00F22F33">
        <w:rPr>
          <w:rFonts w:ascii="Arial" w:hAnsi="Arial" w:cs="Arial"/>
          <w:bCs/>
          <w:color w:val="000000" w:themeColor="text1"/>
          <w:sz w:val="24"/>
          <w:szCs w:val="24"/>
        </w:rPr>
        <w:t xml:space="preserve">di rischio; </w:t>
      </w:r>
    </w:p>
    <w:p w14:paraId="719A78B8" w14:textId="77777777" w:rsidR="005D438E" w:rsidRPr="00F22F33" w:rsidRDefault="005D438E"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F22F33">
        <w:rPr>
          <w:rFonts w:ascii="Arial" w:hAnsi="Arial" w:cs="Arial"/>
          <w:b/>
          <w:bCs/>
          <w:color w:val="000000" w:themeColor="text1"/>
          <w:sz w:val="24"/>
          <w:szCs w:val="24"/>
        </w:rPr>
        <w:t>grado di attuazione delle misure di trattamento</w:t>
      </w:r>
      <w:r w:rsidRPr="00F22F33">
        <w:rPr>
          <w:rFonts w:ascii="Arial" w:hAnsi="Arial" w:cs="Arial"/>
          <w:bCs/>
          <w:color w:val="000000" w:themeColor="text1"/>
          <w:sz w:val="24"/>
          <w:szCs w:val="24"/>
        </w:rPr>
        <w:t>: l’attuazione di misure di trattamento si associa ad una minore p</w:t>
      </w:r>
      <w:r w:rsidR="00346FFB" w:rsidRPr="00F22F33">
        <w:rPr>
          <w:rFonts w:ascii="Arial" w:hAnsi="Arial" w:cs="Arial"/>
          <w:bCs/>
          <w:color w:val="000000" w:themeColor="text1"/>
          <w:sz w:val="24"/>
          <w:szCs w:val="24"/>
        </w:rPr>
        <w:t xml:space="preserve">robabilità </w:t>
      </w:r>
      <w:r w:rsidRPr="00F22F33">
        <w:rPr>
          <w:rFonts w:ascii="Arial" w:hAnsi="Arial" w:cs="Arial"/>
          <w:bCs/>
          <w:color w:val="000000" w:themeColor="text1"/>
          <w:sz w:val="24"/>
          <w:szCs w:val="24"/>
        </w:rPr>
        <w:t xml:space="preserve">di fatti corruttivi.  </w:t>
      </w:r>
    </w:p>
    <w:p w14:paraId="4E16105F" w14:textId="77777777" w:rsidR="001A190F" w:rsidRPr="00F22F33" w:rsidRDefault="001A190F" w:rsidP="003B2613">
      <w:pPr>
        <w:spacing w:before="120" w:after="0" w:line="240" w:lineRule="auto"/>
        <w:jc w:val="both"/>
        <w:rPr>
          <w:rFonts w:ascii="Arial" w:hAnsi="Arial" w:cs="Arial"/>
          <w:bCs/>
          <w:color w:val="000000" w:themeColor="text1"/>
          <w:sz w:val="24"/>
          <w:szCs w:val="24"/>
        </w:rPr>
      </w:pPr>
    </w:p>
    <w:p w14:paraId="5F3080A2" w14:textId="384E4805" w:rsidR="005D438E" w:rsidRPr="00F22F33" w:rsidRDefault="00215871" w:rsidP="00BA4C01">
      <w:pPr>
        <w:spacing w:before="120" w:after="0" w:line="240" w:lineRule="auto"/>
        <w:ind w:firstLine="360"/>
        <w:jc w:val="both"/>
        <w:rPr>
          <w:rFonts w:ascii="Arial" w:hAnsi="Arial" w:cs="Arial"/>
          <w:b/>
          <w:bCs/>
          <w:color w:val="000000" w:themeColor="text1"/>
          <w:sz w:val="24"/>
          <w:szCs w:val="24"/>
        </w:rPr>
      </w:pPr>
      <w:r w:rsidRPr="00F22F33">
        <w:rPr>
          <w:rFonts w:ascii="Arial" w:hAnsi="Arial" w:cs="Arial"/>
          <w:b/>
          <w:bCs/>
          <w:color w:val="000000" w:themeColor="text1"/>
          <w:sz w:val="24"/>
          <w:szCs w:val="24"/>
        </w:rPr>
        <w:t>3.2.</w:t>
      </w:r>
      <w:r w:rsidR="001E24C9">
        <w:rPr>
          <w:rFonts w:ascii="Arial" w:hAnsi="Arial" w:cs="Arial"/>
          <w:b/>
          <w:bCs/>
          <w:color w:val="000000" w:themeColor="text1"/>
          <w:sz w:val="24"/>
          <w:szCs w:val="24"/>
        </w:rPr>
        <w:t>2</w:t>
      </w:r>
      <w:r w:rsidRPr="00F22F33">
        <w:rPr>
          <w:rFonts w:ascii="Arial" w:hAnsi="Arial" w:cs="Arial"/>
          <w:b/>
          <w:bCs/>
          <w:color w:val="000000" w:themeColor="text1"/>
          <w:sz w:val="24"/>
          <w:szCs w:val="24"/>
        </w:rPr>
        <w:t xml:space="preserve"> </w:t>
      </w:r>
      <w:r w:rsidR="005D438E" w:rsidRPr="00F22F33">
        <w:rPr>
          <w:rFonts w:ascii="Arial" w:hAnsi="Arial" w:cs="Arial"/>
          <w:b/>
          <w:bCs/>
          <w:color w:val="000000" w:themeColor="text1"/>
          <w:sz w:val="24"/>
          <w:szCs w:val="24"/>
        </w:rPr>
        <w:t xml:space="preserve">Rilevazione dei dati e delle informazioni  </w:t>
      </w:r>
    </w:p>
    <w:p w14:paraId="62C3AD5A" w14:textId="77777777" w:rsidR="00A90619" w:rsidRPr="00F22F33" w:rsidRDefault="00A90619" w:rsidP="00A90619">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La rilevazione di dati e informazioni necessari ad esprimere un giudizio motivato sugli indicatori di rischio, di cui al paragrafo precedente, “deve essere coordinata dal RPCT”. </w:t>
      </w:r>
    </w:p>
    <w:p w14:paraId="07DE421F" w14:textId="77777777" w:rsidR="00A90619" w:rsidRPr="00F22F33" w:rsidRDefault="00A90619" w:rsidP="00A90619">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Il PNA prevede che le informazioni possano essere “rilevate da soggetti con specifiche competenze o adeguatamente formati”, oppure attraverso modalità di autovalutazione da parte dei responsabili degli uffici coinvolti nello svolgimento del processo. </w:t>
      </w:r>
    </w:p>
    <w:p w14:paraId="04CD9954" w14:textId="77777777" w:rsidR="00A90619" w:rsidRPr="00F22F33" w:rsidRDefault="00A90619" w:rsidP="00A90619">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Le valutazioni devono essere suffragate dalla “motivazione del giudizio espresso”, fornite di “evidenze a supporto” e sostenute da “dati oggettivi, </w:t>
      </w:r>
      <w:r w:rsidRPr="00F22F33">
        <w:rPr>
          <w:rFonts w:ascii="Arial" w:hAnsi="Arial" w:cs="Arial"/>
          <w:bCs/>
          <w:color w:val="000000" w:themeColor="text1"/>
          <w:sz w:val="24"/>
          <w:szCs w:val="24"/>
        </w:rPr>
        <w:lastRenderedPageBreak/>
        <w:t xml:space="preserve">salvo documentata indisponibilità degli stessi” (Allegato n. 1, Part. 4.2, pag. 29).  </w:t>
      </w:r>
    </w:p>
    <w:p w14:paraId="5E7FE3A3" w14:textId="77777777" w:rsidR="00A90619" w:rsidRPr="00F22F33" w:rsidRDefault="00A90619" w:rsidP="00A90619">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L’ANAC ha suggerito i seguenti “dati oggettivi”: </w:t>
      </w:r>
    </w:p>
    <w:p w14:paraId="6B4CBFED" w14:textId="77777777" w:rsidR="00A90619" w:rsidRPr="00F22F33" w:rsidRDefault="00A90619" w:rsidP="00A53A06">
      <w:pPr>
        <w:pStyle w:val="Paragrafoelenco"/>
        <w:numPr>
          <w:ilvl w:val="0"/>
          <w:numId w:val="8"/>
        </w:num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 dati sui precedenti giudiziari e disciplinari a carico dei dipendenti, fermo restando che le fattispecie da considerare sono le sentenze definitive, i procedimenti in corso, le citazioni a giudizio relativi a: reati contro la PA; falso e truffa, con particolare riferimento alle truffe aggravate alla PA (artt. 640 e 640-bis CP); procedimenti per responsabilità contabile; ricorsi in tema di affidamento di contratti);  </w:t>
      </w:r>
    </w:p>
    <w:p w14:paraId="7A6BCD85" w14:textId="77777777" w:rsidR="00A90619" w:rsidRPr="00F22F33" w:rsidRDefault="00A90619" w:rsidP="00A53A06">
      <w:pPr>
        <w:pStyle w:val="Paragrafoelenco"/>
        <w:numPr>
          <w:ilvl w:val="0"/>
          <w:numId w:val="8"/>
        </w:num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le segnalazioni pervenute: whistleblowing o altre modalità, reclami, indagini di customer </w:t>
      </w:r>
      <w:proofErr w:type="spellStart"/>
      <w:r w:rsidRPr="00F22F33">
        <w:rPr>
          <w:rFonts w:ascii="Arial" w:hAnsi="Arial" w:cs="Arial"/>
          <w:bCs/>
          <w:color w:val="000000" w:themeColor="text1"/>
          <w:sz w:val="24"/>
          <w:szCs w:val="24"/>
        </w:rPr>
        <w:t>satisfaction</w:t>
      </w:r>
      <w:proofErr w:type="spellEnd"/>
      <w:r w:rsidRPr="00F22F33">
        <w:rPr>
          <w:rFonts w:ascii="Arial" w:hAnsi="Arial" w:cs="Arial"/>
          <w:bCs/>
          <w:color w:val="000000" w:themeColor="text1"/>
          <w:sz w:val="24"/>
          <w:szCs w:val="24"/>
        </w:rPr>
        <w:t>, ecc.;</w:t>
      </w:r>
    </w:p>
    <w:p w14:paraId="14B87336" w14:textId="77777777" w:rsidR="00A90619" w:rsidRPr="00F22F33" w:rsidRDefault="00A90619" w:rsidP="00A53A06">
      <w:pPr>
        <w:pStyle w:val="Paragrafoelenco"/>
        <w:numPr>
          <w:ilvl w:val="0"/>
          <w:numId w:val="8"/>
        </w:num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ulteriori dati in possesso dell’amministrazione (ad esempio: rassegne stampa, ecc.).   </w:t>
      </w:r>
    </w:p>
    <w:p w14:paraId="032896E4" w14:textId="77777777" w:rsidR="00A90619" w:rsidRPr="00F22F33" w:rsidRDefault="00A90619" w:rsidP="00A90619">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Infine, l’Autorità ha suggerito di “programmare adeguatamente l’attività di rilevazione individuando nel PTPCT tempi e responsabilità” e, laddove sia possibile, consiglia “di avvalersi di strumenti e soluzioni informatiche idonee a facilitare la rilevazione, l’elaborazione e la trasmissione dei dati e delle informazioni necessarie” (Allegato n. 1, pag. 30).   </w:t>
      </w:r>
    </w:p>
    <w:p w14:paraId="72A32447" w14:textId="596B8AA0" w:rsidR="005D438E" w:rsidRDefault="001E24C9" w:rsidP="00BA4C01">
      <w:pPr>
        <w:spacing w:before="120" w:after="0" w:line="240" w:lineRule="auto"/>
        <w:ind w:firstLine="708"/>
        <w:jc w:val="both"/>
        <w:rPr>
          <w:rFonts w:ascii="Arial" w:hAnsi="Arial" w:cs="Arial"/>
          <w:b/>
          <w:bCs/>
          <w:color w:val="000000" w:themeColor="text1"/>
          <w:sz w:val="24"/>
          <w:szCs w:val="24"/>
        </w:rPr>
      </w:pPr>
      <w:r>
        <w:rPr>
          <w:rFonts w:ascii="Arial" w:hAnsi="Arial" w:cs="Arial"/>
          <w:b/>
          <w:bCs/>
          <w:color w:val="000000" w:themeColor="text1"/>
          <w:sz w:val="24"/>
          <w:szCs w:val="24"/>
        </w:rPr>
        <w:t>3.2.3. Formulazione del giudizio motivato</w:t>
      </w:r>
      <w:r w:rsidR="005D438E" w:rsidRPr="00F22F33">
        <w:rPr>
          <w:rFonts w:ascii="Arial" w:hAnsi="Arial" w:cs="Arial"/>
          <w:b/>
          <w:bCs/>
          <w:color w:val="000000" w:themeColor="text1"/>
          <w:sz w:val="24"/>
          <w:szCs w:val="24"/>
        </w:rPr>
        <w:t xml:space="preserve"> </w:t>
      </w:r>
    </w:p>
    <w:p w14:paraId="7F7F456F" w14:textId="77777777" w:rsidR="00562824" w:rsidRPr="008B143B" w:rsidRDefault="00562824" w:rsidP="00562824">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In questa fase si procede alla misurazione degli indicatori di rischio. L'ANAC sostiene che sarebbe opportuno privilegiare un’analisi di tipo </w:t>
      </w:r>
      <w:r w:rsidRPr="008B143B">
        <w:rPr>
          <w:rFonts w:ascii="Book Antiqua" w:hAnsi="Book Antiqua"/>
          <w:bCs/>
          <w:i/>
          <w:iCs/>
          <w:sz w:val="24"/>
          <w:szCs w:val="24"/>
        </w:rPr>
        <w:t>qualitativo</w:t>
      </w:r>
      <w:r w:rsidRPr="008B143B">
        <w:rPr>
          <w:rFonts w:ascii="Book Antiqua" w:hAnsi="Book Antiqua"/>
          <w:bCs/>
          <w:sz w:val="24"/>
          <w:szCs w:val="24"/>
        </w:rPr>
        <w:t xml:space="preserve">, accompagnata da adeguate documentazioni e motivazioni rispetto ad un’impostazione </w:t>
      </w:r>
      <w:r w:rsidRPr="008B143B">
        <w:rPr>
          <w:rFonts w:ascii="Book Antiqua" w:hAnsi="Book Antiqua"/>
          <w:bCs/>
          <w:i/>
          <w:iCs/>
          <w:sz w:val="24"/>
          <w:szCs w:val="24"/>
        </w:rPr>
        <w:t>quantitativa</w:t>
      </w:r>
      <w:r w:rsidRPr="008B143B">
        <w:rPr>
          <w:rFonts w:ascii="Book Antiqua" w:hAnsi="Book Antiqua"/>
          <w:bCs/>
          <w:sz w:val="24"/>
          <w:szCs w:val="24"/>
        </w:rPr>
        <w:t xml:space="preserve"> che prevede l’attribuzione di punteggi.  Se la misurazione degli indicatori di rischio viene svolta con metodologia "qualitativa" è possibile applicare una scala di valutazione di tipo ordinale: alto, medio, basso. Ogni misurazione deve essere adeguatamente motivata alla luce dei dati e delle evidenze raccolte. </w:t>
      </w:r>
    </w:p>
    <w:p w14:paraId="5097BED7" w14:textId="77777777" w:rsidR="00562824" w:rsidRPr="008B143B" w:rsidRDefault="00562824" w:rsidP="00562824">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L’ANAC raccomanda quanto segue: </w:t>
      </w:r>
    </w:p>
    <w:p w14:paraId="68812056" w14:textId="77777777" w:rsidR="00562824" w:rsidRPr="008B143B" w:rsidRDefault="00562824" w:rsidP="00562824">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qualora, per un dato processo, siano ipotizzabili più eventi rischiosi con un diverso livello di rischio, si raccomanda di far riferimento al valore più alto nello stimare l’esposizione complessiva del rischio; </w:t>
      </w:r>
    </w:p>
    <w:p w14:paraId="3CC2621A" w14:textId="77777777" w:rsidR="00562824" w:rsidRPr="008B143B" w:rsidRDefault="00562824" w:rsidP="00562824">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evitare che la valutazione sia data dalla media dei singoli indicatori; è necessario far prevalere il giudizio qualitativo rispetto ad un mero calcolo matematico. </w:t>
      </w:r>
    </w:p>
    <w:p w14:paraId="083A57A4" w14:textId="77777777" w:rsidR="00562824" w:rsidRPr="008B143B" w:rsidRDefault="00562824" w:rsidP="00562824">
      <w:pPr>
        <w:spacing w:before="120" w:after="0" w:line="240" w:lineRule="auto"/>
        <w:jc w:val="both"/>
        <w:rPr>
          <w:rFonts w:ascii="Book Antiqua" w:hAnsi="Book Antiqua"/>
          <w:b/>
          <w:sz w:val="24"/>
          <w:szCs w:val="24"/>
        </w:rPr>
      </w:pPr>
      <w:r w:rsidRPr="008B143B">
        <w:rPr>
          <w:rFonts w:ascii="Book Antiqua" w:hAnsi="Book Antiqua"/>
          <w:b/>
          <w:sz w:val="24"/>
          <w:szCs w:val="24"/>
        </w:rPr>
        <w:t>L'analisi è stata svolta con metodologia di tipo qualitativo ed è stata applicata una scala ordinale di maggior dettaglio rispetto a quella suggerita dal PNA (basso, medio, alto):</w:t>
      </w:r>
    </w:p>
    <w:p w14:paraId="0DB20E9E" w14:textId="7D0D6134" w:rsidR="00562824" w:rsidRDefault="00562824" w:rsidP="00A22C24">
      <w:pPr>
        <w:spacing w:before="120" w:after="0" w:line="240" w:lineRule="auto"/>
        <w:jc w:val="both"/>
        <w:rPr>
          <w:rFonts w:ascii="Arial" w:hAnsi="Arial" w:cs="Arial"/>
          <w:b/>
          <w:bCs/>
          <w:color w:val="000000" w:themeColor="text1"/>
          <w:sz w:val="24"/>
          <w:szCs w:val="24"/>
        </w:rPr>
      </w:pPr>
    </w:p>
    <w:p w14:paraId="055712A9" w14:textId="7873A027" w:rsidR="00562824" w:rsidRDefault="00562824" w:rsidP="00A22C24">
      <w:pPr>
        <w:spacing w:before="120" w:after="0" w:line="240" w:lineRule="auto"/>
        <w:jc w:val="both"/>
        <w:rPr>
          <w:rFonts w:ascii="Arial" w:hAnsi="Arial" w:cs="Arial"/>
          <w:b/>
          <w:bCs/>
          <w:color w:val="000000" w:themeColor="text1"/>
          <w:sz w:val="24"/>
          <w:szCs w:val="24"/>
        </w:rPr>
      </w:pPr>
    </w:p>
    <w:p w14:paraId="06D3F24E" w14:textId="77777777" w:rsidR="00562824" w:rsidRDefault="00562824" w:rsidP="00A22C24">
      <w:pPr>
        <w:spacing w:before="120" w:after="0" w:line="240" w:lineRule="auto"/>
        <w:jc w:val="both"/>
        <w:rPr>
          <w:rFonts w:ascii="Arial" w:hAnsi="Arial" w:cs="Arial"/>
          <w:b/>
          <w:bCs/>
          <w:color w:val="000000" w:themeColor="text1"/>
          <w:sz w:val="24"/>
          <w:szCs w:val="24"/>
        </w:rPr>
      </w:pPr>
    </w:p>
    <w:p w14:paraId="07ED1CD7" w14:textId="77777777" w:rsidR="00562824" w:rsidRPr="00F22F33" w:rsidRDefault="00562824" w:rsidP="00A22C24">
      <w:pPr>
        <w:spacing w:before="120" w:after="0" w:line="240" w:lineRule="auto"/>
        <w:jc w:val="both"/>
        <w:rPr>
          <w:rFonts w:ascii="Arial" w:hAnsi="Arial" w:cs="Arial"/>
          <w:b/>
          <w:bCs/>
          <w:color w:val="000000" w:themeColor="text1"/>
          <w:sz w:val="24"/>
          <w:szCs w:val="24"/>
        </w:rPr>
      </w:pPr>
    </w:p>
    <w:p w14:paraId="130E81D9" w14:textId="77777777" w:rsidR="00A561B7" w:rsidRPr="00F22F33" w:rsidRDefault="00A561B7" w:rsidP="00A561B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 </w:t>
      </w:r>
    </w:p>
    <w:tbl>
      <w:tblPr>
        <w:tblStyle w:val="Grigliatabella"/>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6"/>
        <w:gridCol w:w="4052"/>
      </w:tblGrid>
      <w:tr w:rsidR="00A06F4C" w:rsidRPr="00F22F33" w14:paraId="60B1ED7C" w14:textId="77777777" w:rsidTr="00DC4903">
        <w:tc>
          <w:tcPr>
            <w:tcW w:w="4781" w:type="dxa"/>
          </w:tcPr>
          <w:p w14:paraId="2E981FE0" w14:textId="77777777" w:rsidR="00DC4903" w:rsidRPr="00F22F33" w:rsidRDefault="00DC4903" w:rsidP="00DC4903">
            <w:pPr>
              <w:spacing w:before="120" w:after="0" w:line="240" w:lineRule="auto"/>
              <w:jc w:val="center"/>
              <w:rPr>
                <w:rFonts w:ascii="Arial" w:hAnsi="Arial" w:cs="Arial"/>
                <w:b/>
                <w:bCs/>
                <w:color w:val="000000" w:themeColor="text1"/>
                <w:sz w:val="24"/>
                <w:szCs w:val="24"/>
              </w:rPr>
            </w:pPr>
            <w:r w:rsidRPr="00F22F33">
              <w:rPr>
                <w:rFonts w:ascii="Arial" w:hAnsi="Arial" w:cs="Arial"/>
                <w:b/>
                <w:bCs/>
                <w:color w:val="000000" w:themeColor="text1"/>
                <w:sz w:val="24"/>
                <w:szCs w:val="24"/>
              </w:rPr>
              <w:t>Livello di rischio</w:t>
            </w:r>
          </w:p>
        </w:tc>
        <w:tc>
          <w:tcPr>
            <w:tcW w:w="4889" w:type="dxa"/>
          </w:tcPr>
          <w:p w14:paraId="1D0B9723" w14:textId="77777777" w:rsidR="00DC4903" w:rsidRPr="00F22F33" w:rsidRDefault="00DC4903" w:rsidP="00DC4903">
            <w:pPr>
              <w:spacing w:before="120" w:after="0" w:line="240" w:lineRule="auto"/>
              <w:jc w:val="center"/>
              <w:rPr>
                <w:rFonts w:ascii="Arial" w:hAnsi="Arial" w:cs="Arial"/>
                <w:b/>
                <w:bCs/>
                <w:color w:val="000000" w:themeColor="text1"/>
                <w:sz w:val="24"/>
                <w:szCs w:val="24"/>
              </w:rPr>
            </w:pPr>
            <w:r w:rsidRPr="00F22F33">
              <w:rPr>
                <w:rFonts w:ascii="Arial" w:hAnsi="Arial" w:cs="Arial"/>
                <w:b/>
                <w:bCs/>
                <w:color w:val="000000" w:themeColor="text1"/>
                <w:sz w:val="24"/>
                <w:szCs w:val="24"/>
              </w:rPr>
              <w:t>Sigla corrispondente</w:t>
            </w:r>
          </w:p>
        </w:tc>
      </w:tr>
      <w:tr w:rsidR="00A06F4C" w:rsidRPr="00F22F33" w14:paraId="1AD28CF4" w14:textId="77777777" w:rsidTr="00DC4903">
        <w:tc>
          <w:tcPr>
            <w:tcW w:w="4781" w:type="dxa"/>
          </w:tcPr>
          <w:p w14:paraId="24F08ABC" w14:textId="77777777" w:rsidR="00DC4903" w:rsidRPr="00F22F33" w:rsidRDefault="00DC4903" w:rsidP="00A561B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Rischio quasi nullo</w:t>
            </w:r>
          </w:p>
        </w:tc>
        <w:tc>
          <w:tcPr>
            <w:tcW w:w="4889" w:type="dxa"/>
          </w:tcPr>
          <w:p w14:paraId="3B071C39" w14:textId="77777777" w:rsidR="00DC4903" w:rsidRPr="00F22F33" w:rsidRDefault="00DC4903" w:rsidP="00DC4903">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N</w:t>
            </w:r>
          </w:p>
        </w:tc>
      </w:tr>
      <w:tr w:rsidR="00A06F4C" w:rsidRPr="00F22F33" w14:paraId="724C6499" w14:textId="77777777" w:rsidTr="00DC4903">
        <w:tc>
          <w:tcPr>
            <w:tcW w:w="4781" w:type="dxa"/>
          </w:tcPr>
          <w:p w14:paraId="1A7622BE" w14:textId="77777777" w:rsidR="00DC4903" w:rsidRPr="00F22F33" w:rsidRDefault="00DC4903" w:rsidP="00A561B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Rischio molto basso</w:t>
            </w:r>
          </w:p>
        </w:tc>
        <w:tc>
          <w:tcPr>
            <w:tcW w:w="4889" w:type="dxa"/>
          </w:tcPr>
          <w:p w14:paraId="411F8C0B" w14:textId="77777777" w:rsidR="00DC4903" w:rsidRPr="00F22F33" w:rsidRDefault="00DC4903" w:rsidP="00DC4903">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B-</w:t>
            </w:r>
          </w:p>
        </w:tc>
      </w:tr>
      <w:tr w:rsidR="00A06F4C" w:rsidRPr="00F22F33" w14:paraId="74AFBE72" w14:textId="77777777" w:rsidTr="00DC4903">
        <w:tc>
          <w:tcPr>
            <w:tcW w:w="4781" w:type="dxa"/>
          </w:tcPr>
          <w:p w14:paraId="77BC4348" w14:textId="77777777" w:rsidR="00DC4903" w:rsidRPr="00F22F33" w:rsidRDefault="00DC4903" w:rsidP="00A561B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Rischio basso</w:t>
            </w:r>
          </w:p>
        </w:tc>
        <w:tc>
          <w:tcPr>
            <w:tcW w:w="4889" w:type="dxa"/>
          </w:tcPr>
          <w:p w14:paraId="0C6E0B2F" w14:textId="77777777" w:rsidR="00DC4903" w:rsidRPr="00F22F33" w:rsidRDefault="00DC4903" w:rsidP="00DC4903">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B</w:t>
            </w:r>
          </w:p>
        </w:tc>
      </w:tr>
      <w:tr w:rsidR="00A06F4C" w:rsidRPr="00F22F33" w14:paraId="68829987" w14:textId="77777777" w:rsidTr="00DC4903">
        <w:tc>
          <w:tcPr>
            <w:tcW w:w="4781" w:type="dxa"/>
          </w:tcPr>
          <w:p w14:paraId="152A1A58" w14:textId="77777777" w:rsidR="00DC4903" w:rsidRPr="00F22F33" w:rsidRDefault="00DC4903" w:rsidP="00A561B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Rischio moderato</w:t>
            </w:r>
          </w:p>
        </w:tc>
        <w:tc>
          <w:tcPr>
            <w:tcW w:w="4889" w:type="dxa"/>
          </w:tcPr>
          <w:p w14:paraId="0B41706C" w14:textId="77777777" w:rsidR="00DC4903" w:rsidRPr="00F22F33" w:rsidRDefault="00DC4903" w:rsidP="00DC4903">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M</w:t>
            </w:r>
          </w:p>
        </w:tc>
      </w:tr>
      <w:tr w:rsidR="00A06F4C" w:rsidRPr="00F22F33" w14:paraId="037ACB9C" w14:textId="77777777" w:rsidTr="00DC4903">
        <w:tc>
          <w:tcPr>
            <w:tcW w:w="4781" w:type="dxa"/>
          </w:tcPr>
          <w:p w14:paraId="7548B604" w14:textId="77777777" w:rsidR="00DC4903" w:rsidRPr="00F22F33" w:rsidRDefault="00DC4903" w:rsidP="00A561B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Rischio alto</w:t>
            </w:r>
          </w:p>
        </w:tc>
        <w:tc>
          <w:tcPr>
            <w:tcW w:w="4889" w:type="dxa"/>
          </w:tcPr>
          <w:p w14:paraId="017BBFD4" w14:textId="77777777" w:rsidR="00DC4903" w:rsidRPr="00F22F33" w:rsidRDefault="00DC4903" w:rsidP="00DC4903">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A</w:t>
            </w:r>
          </w:p>
        </w:tc>
      </w:tr>
      <w:tr w:rsidR="00A06F4C" w:rsidRPr="00F22F33" w14:paraId="7A6E983C" w14:textId="77777777" w:rsidTr="00DC4903">
        <w:tc>
          <w:tcPr>
            <w:tcW w:w="4781" w:type="dxa"/>
          </w:tcPr>
          <w:p w14:paraId="18E1DDDE" w14:textId="77777777" w:rsidR="00DC4903" w:rsidRPr="00F22F33" w:rsidRDefault="00DC4903" w:rsidP="00A561B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Rischio molto alto</w:t>
            </w:r>
          </w:p>
        </w:tc>
        <w:tc>
          <w:tcPr>
            <w:tcW w:w="4889" w:type="dxa"/>
          </w:tcPr>
          <w:p w14:paraId="2C09437B" w14:textId="77777777" w:rsidR="00DC4903" w:rsidRPr="00F22F33" w:rsidRDefault="00DC4903" w:rsidP="00DC4903">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A+</w:t>
            </w:r>
          </w:p>
        </w:tc>
      </w:tr>
      <w:tr w:rsidR="00DC4903" w:rsidRPr="00F22F33" w14:paraId="2542EBCA" w14:textId="77777777" w:rsidTr="00DC4903">
        <w:tc>
          <w:tcPr>
            <w:tcW w:w="4781" w:type="dxa"/>
          </w:tcPr>
          <w:p w14:paraId="7FD31DF2" w14:textId="77777777" w:rsidR="00DC4903" w:rsidRPr="00F22F33" w:rsidRDefault="00DC4903" w:rsidP="00A561B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Rischio altissimo</w:t>
            </w:r>
          </w:p>
        </w:tc>
        <w:tc>
          <w:tcPr>
            <w:tcW w:w="4889" w:type="dxa"/>
          </w:tcPr>
          <w:p w14:paraId="6130B955" w14:textId="77777777" w:rsidR="00DC4903" w:rsidRPr="00F22F33" w:rsidRDefault="00DC4903" w:rsidP="00DC4903">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A++</w:t>
            </w:r>
          </w:p>
        </w:tc>
      </w:tr>
    </w:tbl>
    <w:p w14:paraId="135C6C2B" w14:textId="77777777" w:rsidR="00A561B7" w:rsidRPr="00F22F33" w:rsidRDefault="00A561B7" w:rsidP="00A561B7">
      <w:pPr>
        <w:spacing w:before="120" w:after="0" w:line="240" w:lineRule="auto"/>
        <w:jc w:val="both"/>
        <w:rPr>
          <w:rFonts w:ascii="Arial" w:hAnsi="Arial" w:cs="Arial"/>
          <w:bCs/>
          <w:color w:val="000000" w:themeColor="text1"/>
          <w:sz w:val="24"/>
          <w:szCs w:val="24"/>
        </w:rPr>
      </w:pPr>
    </w:p>
    <w:p w14:paraId="23D58A4F" w14:textId="77777777" w:rsidR="005D7A64" w:rsidRPr="00F22F33" w:rsidRDefault="00F91FD2" w:rsidP="005D7A64">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 risultati della misurazione sono riportati nelle </w:t>
      </w:r>
      <w:r w:rsidR="005D7A64" w:rsidRPr="00F22F33">
        <w:rPr>
          <w:rFonts w:ascii="Arial" w:hAnsi="Arial" w:cs="Arial"/>
          <w:bCs/>
          <w:color w:val="000000" w:themeColor="text1"/>
          <w:sz w:val="24"/>
          <w:szCs w:val="24"/>
        </w:rPr>
        <w:t>schede allegate, denominate “</w:t>
      </w:r>
      <w:r w:rsidR="005D7A64" w:rsidRPr="00F22F33">
        <w:rPr>
          <w:rFonts w:ascii="Arial" w:hAnsi="Arial" w:cs="Arial"/>
          <w:b/>
          <w:color w:val="000000" w:themeColor="text1"/>
          <w:sz w:val="24"/>
          <w:szCs w:val="24"/>
        </w:rPr>
        <w:t xml:space="preserve">Analisi dei rischi” </w:t>
      </w:r>
      <w:r w:rsidR="005D7A64" w:rsidRPr="00F22F33">
        <w:rPr>
          <w:rFonts w:ascii="Arial" w:hAnsi="Arial" w:cs="Arial"/>
          <w:bCs/>
          <w:color w:val="000000" w:themeColor="text1"/>
          <w:sz w:val="24"/>
          <w:szCs w:val="24"/>
        </w:rPr>
        <w:t>(</w:t>
      </w:r>
      <w:r w:rsidR="005D7A64" w:rsidRPr="00F22F33">
        <w:rPr>
          <w:rFonts w:ascii="Arial" w:hAnsi="Arial" w:cs="Arial"/>
          <w:b/>
          <w:color w:val="000000" w:themeColor="text1"/>
          <w:sz w:val="24"/>
          <w:szCs w:val="24"/>
          <w:u w:val="single"/>
        </w:rPr>
        <w:t>Allegato B</w:t>
      </w:r>
      <w:r w:rsidR="005D7A64" w:rsidRPr="00F22F33">
        <w:rPr>
          <w:rFonts w:ascii="Arial" w:hAnsi="Arial" w:cs="Arial"/>
          <w:bCs/>
          <w:color w:val="000000" w:themeColor="text1"/>
          <w:sz w:val="24"/>
          <w:szCs w:val="24"/>
        </w:rPr>
        <w:t>). Nell</w:t>
      </w:r>
      <w:r w:rsidR="005B6AAE" w:rsidRPr="00F22F33">
        <w:rPr>
          <w:rFonts w:ascii="Arial" w:hAnsi="Arial" w:cs="Arial"/>
          <w:bCs/>
          <w:color w:val="000000" w:themeColor="text1"/>
          <w:sz w:val="24"/>
          <w:szCs w:val="24"/>
        </w:rPr>
        <w:t>a</w:t>
      </w:r>
      <w:r w:rsidR="005D7A64" w:rsidRPr="00F22F33">
        <w:rPr>
          <w:rFonts w:ascii="Arial" w:hAnsi="Arial" w:cs="Arial"/>
          <w:bCs/>
          <w:color w:val="000000" w:themeColor="text1"/>
          <w:sz w:val="24"/>
          <w:szCs w:val="24"/>
        </w:rPr>
        <w:t xml:space="preserve"> colonna denominata "</w:t>
      </w:r>
      <w:r w:rsidR="005D7A64" w:rsidRPr="00F22F33">
        <w:rPr>
          <w:rFonts w:ascii="Arial" w:hAnsi="Arial" w:cs="Arial"/>
          <w:b/>
          <w:bCs/>
          <w:color w:val="000000" w:themeColor="text1"/>
          <w:sz w:val="24"/>
          <w:szCs w:val="24"/>
        </w:rPr>
        <w:t>Valutazione complessiva</w:t>
      </w:r>
      <w:r w:rsidR="005D7A64" w:rsidRPr="00F22F33">
        <w:rPr>
          <w:rFonts w:ascii="Arial" w:hAnsi="Arial" w:cs="Arial"/>
          <w:bCs/>
          <w:color w:val="000000" w:themeColor="text1"/>
          <w:sz w:val="24"/>
          <w:szCs w:val="24"/>
        </w:rPr>
        <w:t xml:space="preserve">" è indicata la misurazione di sintesi di ciascun oggetto di analisi. </w:t>
      </w:r>
    </w:p>
    <w:p w14:paraId="2015665C" w14:textId="77777777" w:rsidR="009E6B45" w:rsidRPr="00F22F33" w:rsidRDefault="009E6B45" w:rsidP="00841AB7">
      <w:pPr>
        <w:pStyle w:val="TitoloB"/>
        <w:keepNext/>
        <w:widowControl w:val="0"/>
        <w:spacing w:after="360" w:line="280" w:lineRule="exact"/>
        <w:ind w:left="360" w:right="0"/>
        <w:jc w:val="both"/>
        <w:outlineLvl w:val="1"/>
        <w:rPr>
          <w:color w:val="000000" w:themeColor="text1"/>
          <w:sz w:val="24"/>
          <w:szCs w:val="24"/>
        </w:rPr>
      </w:pPr>
      <w:bookmarkStart w:id="87" w:name="_Toc25585731"/>
    </w:p>
    <w:p w14:paraId="7F12E8FE" w14:textId="5CF3E196" w:rsidR="00CA284E" w:rsidRPr="00F22F33" w:rsidRDefault="00920EAF" w:rsidP="00841AB7">
      <w:pPr>
        <w:pStyle w:val="TitoloB"/>
        <w:keepNext/>
        <w:widowControl w:val="0"/>
        <w:spacing w:after="360" w:line="280" w:lineRule="exact"/>
        <w:ind w:left="360" w:right="0"/>
        <w:jc w:val="both"/>
        <w:outlineLvl w:val="1"/>
        <w:rPr>
          <w:color w:val="0F243E" w:themeColor="text2" w:themeShade="80"/>
          <w:sz w:val="24"/>
          <w:szCs w:val="24"/>
        </w:rPr>
      </w:pPr>
      <w:bookmarkStart w:id="88" w:name="_Toc131582819"/>
      <w:bookmarkStart w:id="89" w:name="_Toc131582928"/>
      <w:bookmarkStart w:id="90" w:name="_Toc131583547"/>
      <w:r w:rsidRPr="00F22F33">
        <w:rPr>
          <w:color w:val="0F243E" w:themeColor="text2" w:themeShade="80"/>
          <w:sz w:val="24"/>
          <w:szCs w:val="24"/>
        </w:rPr>
        <w:t>3.</w:t>
      </w:r>
      <w:r w:rsidR="009E6B45" w:rsidRPr="00F22F33">
        <w:rPr>
          <w:color w:val="0F243E" w:themeColor="text2" w:themeShade="80"/>
          <w:sz w:val="24"/>
          <w:szCs w:val="24"/>
        </w:rPr>
        <w:t>3</w:t>
      </w:r>
      <w:r w:rsidRPr="00F22F33">
        <w:rPr>
          <w:color w:val="0F243E" w:themeColor="text2" w:themeShade="80"/>
          <w:sz w:val="24"/>
          <w:szCs w:val="24"/>
        </w:rPr>
        <w:t>.</w:t>
      </w:r>
      <w:r w:rsidR="00841AB7" w:rsidRPr="00F22F33">
        <w:rPr>
          <w:color w:val="0F243E" w:themeColor="text2" w:themeShade="80"/>
          <w:sz w:val="24"/>
          <w:szCs w:val="24"/>
        </w:rPr>
        <w:t xml:space="preserve"> </w:t>
      </w:r>
      <w:r w:rsidR="00CA284E" w:rsidRPr="00F22F33">
        <w:rPr>
          <w:color w:val="0F243E" w:themeColor="text2" w:themeShade="80"/>
          <w:sz w:val="24"/>
          <w:szCs w:val="24"/>
        </w:rPr>
        <w:t>La ponderazione</w:t>
      </w:r>
      <w:bookmarkEnd w:id="87"/>
      <w:bookmarkEnd w:id="88"/>
      <w:bookmarkEnd w:id="89"/>
      <w:bookmarkEnd w:id="90"/>
    </w:p>
    <w:p w14:paraId="13814FF0" w14:textId="7E636360" w:rsidR="00CA284E" w:rsidRPr="00F22F33" w:rsidRDefault="00CA284E"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La ponderazione del rischio è l’ultim</w:t>
      </w:r>
      <w:r w:rsidR="00E52CDA" w:rsidRPr="00F22F33">
        <w:rPr>
          <w:rFonts w:ascii="Arial" w:hAnsi="Arial" w:cs="Arial"/>
          <w:bCs/>
          <w:color w:val="000000" w:themeColor="text1"/>
          <w:sz w:val="24"/>
          <w:szCs w:val="24"/>
        </w:rPr>
        <w:t>o</w:t>
      </w:r>
      <w:r w:rsidRPr="00F22F33">
        <w:rPr>
          <w:rFonts w:ascii="Arial" w:hAnsi="Arial" w:cs="Arial"/>
          <w:bCs/>
          <w:color w:val="000000" w:themeColor="text1"/>
          <w:sz w:val="24"/>
          <w:szCs w:val="24"/>
        </w:rPr>
        <w:t xml:space="preserve"> </w:t>
      </w:r>
      <w:r w:rsidR="00E52CDA" w:rsidRPr="00F22F33">
        <w:rPr>
          <w:rFonts w:ascii="Arial" w:hAnsi="Arial" w:cs="Arial"/>
          <w:bCs/>
          <w:color w:val="000000" w:themeColor="text1"/>
          <w:sz w:val="24"/>
          <w:szCs w:val="24"/>
        </w:rPr>
        <w:t>step</w:t>
      </w:r>
      <w:r w:rsidRPr="00F22F33">
        <w:rPr>
          <w:rFonts w:ascii="Arial" w:hAnsi="Arial" w:cs="Arial"/>
          <w:bCs/>
          <w:color w:val="000000" w:themeColor="text1"/>
          <w:sz w:val="24"/>
          <w:szCs w:val="24"/>
        </w:rPr>
        <w:t xml:space="preserve"> </w:t>
      </w:r>
      <w:r w:rsidR="00E52CDA" w:rsidRPr="00F22F33">
        <w:rPr>
          <w:rFonts w:ascii="Arial" w:hAnsi="Arial" w:cs="Arial"/>
          <w:bCs/>
          <w:color w:val="000000" w:themeColor="text1"/>
          <w:sz w:val="24"/>
          <w:szCs w:val="24"/>
        </w:rPr>
        <w:t xml:space="preserve">della </w:t>
      </w:r>
      <w:r w:rsidRPr="00F22F33">
        <w:rPr>
          <w:rFonts w:ascii="Arial" w:hAnsi="Arial" w:cs="Arial"/>
          <w:bCs/>
          <w:color w:val="000000" w:themeColor="text1"/>
          <w:sz w:val="24"/>
          <w:szCs w:val="24"/>
        </w:rPr>
        <w:t xml:space="preserve">macro-fase di valutazione del rischio. </w:t>
      </w:r>
    </w:p>
    <w:p w14:paraId="62E460CF" w14:textId="2E6CA53B" w:rsidR="005D438E" w:rsidRPr="00F22F33" w:rsidRDefault="00E52CDA"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Il fine </w:t>
      </w:r>
      <w:r w:rsidR="00CA284E" w:rsidRPr="00F22F33">
        <w:rPr>
          <w:rFonts w:ascii="Arial" w:hAnsi="Arial" w:cs="Arial"/>
          <w:bCs/>
          <w:color w:val="000000" w:themeColor="text1"/>
          <w:sz w:val="24"/>
          <w:szCs w:val="24"/>
        </w:rPr>
        <w:t>d</w:t>
      </w:r>
      <w:r w:rsidR="005D438E" w:rsidRPr="00F22F33">
        <w:rPr>
          <w:rFonts w:ascii="Arial" w:hAnsi="Arial" w:cs="Arial"/>
          <w:bCs/>
          <w:color w:val="000000" w:themeColor="text1"/>
          <w:sz w:val="24"/>
          <w:szCs w:val="24"/>
        </w:rPr>
        <w:t>ella ponderazione è</w:t>
      </w:r>
      <w:r w:rsidR="00CA284E" w:rsidRPr="00F22F33">
        <w:rPr>
          <w:rFonts w:ascii="Arial" w:hAnsi="Arial" w:cs="Arial"/>
          <w:bCs/>
          <w:color w:val="000000" w:themeColor="text1"/>
          <w:sz w:val="24"/>
          <w:szCs w:val="24"/>
        </w:rPr>
        <w:t xml:space="preserve"> </w:t>
      </w:r>
      <w:r w:rsidR="005D438E" w:rsidRPr="00F22F33">
        <w:rPr>
          <w:rFonts w:ascii="Arial" w:hAnsi="Arial" w:cs="Arial"/>
          <w:bCs/>
          <w:color w:val="000000" w:themeColor="text1"/>
          <w:sz w:val="24"/>
          <w:szCs w:val="24"/>
        </w:rPr>
        <w:t xml:space="preserve">di </w:t>
      </w:r>
      <w:r w:rsidR="00CA284E" w:rsidRPr="00F22F33">
        <w:rPr>
          <w:rFonts w:ascii="Arial" w:hAnsi="Arial" w:cs="Arial"/>
          <w:bCs/>
          <w:color w:val="000000" w:themeColor="text1"/>
          <w:sz w:val="24"/>
          <w:szCs w:val="24"/>
        </w:rPr>
        <w:t>“</w:t>
      </w:r>
      <w:r w:rsidR="005D438E" w:rsidRPr="00F22F33">
        <w:rPr>
          <w:rFonts w:ascii="Arial" w:hAnsi="Arial" w:cs="Arial"/>
          <w:bCs/>
          <w:color w:val="000000" w:themeColor="text1"/>
          <w:sz w:val="24"/>
          <w:szCs w:val="24"/>
        </w:rPr>
        <w:t>agevolare, sulla base degli esiti dell’analisi del rischio, i processi decisionali riguardo a quali rischi necessitano un trattamento e le relative priorità di attuazione</w:t>
      </w:r>
      <w:r w:rsidR="00CA284E" w:rsidRPr="00F22F33">
        <w:rPr>
          <w:rFonts w:ascii="Arial" w:hAnsi="Arial" w:cs="Arial"/>
          <w:bCs/>
          <w:color w:val="000000" w:themeColor="text1"/>
          <w:sz w:val="24"/>
          <w:szCs w:val="24"/>
        </w:rPr>
        <w:t xml:space="preserve">” (Allegato n. 1, Par. 4.3, pag. 31). </w:t>
      </w:r>
      <w:r w:rsidR="005D438E" w:rsidRPr="00F22F33">
        <w:rPr>
          <w:rFonts w:ascii="Arial" w:hAnsi="Arial" w:cs="Arial"/>
          <w:bCs/>
          <w:color w:val="000000" w:themeColor="text1"/>
          <w:sz w:val="24"/>
          <w:szCs w:val="24"/>
        </w:rPr>
        <w:t xml:space="preserve">  </w:t>
      </w:r>
    </w:p>
    <w:p w14:paraId="6C018442" w14:textId="77777777" w:rsidR="00E52CDA" w:rsidRPr="00F22F33" w:rsidRDefault="00CA284E"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Nella</w:t>
      </w:r>
      <w:r w:rsidR="005D438E" w:rsidRPr="00F22F33">
        <w:rPr>
          <w:rFonts w:ascii="Arial" w:hAnsi="Arial" w:cs="Arial"/>
          <w:bCs/>
          <w:color w:val="000000" w:themeColor="text1"/>
          <w:sz w:val="24"/>
          <w:szCs w:val="24"/>
        </w:rPr>
        <w:t xml:space="preserve"> fase di ponderazione</w:t>
      </w:r>
      <w:r w:rsidRPr="00F22F33">
        <w:rPr>
          <w:rFonts w:ascii="Arial" w:hAnsi="Arial" w:cs="Arial"/>
          <w:bCs/>
          <w:color w:val="000000" w:themeColor="text1"/>
          <w:sz w:val="24"/>
          <w:szCs w:val="24"/>
        </w:rPr>
        <w:t xml:space="preserve"> si stabiliscono</w:t>
      </w:r>
      <w:r w:rsidR="005D438E" w:rsidRPr="00F22F33">
        <w:rPr>
          <w:rFonts w:ascii="Arial" w:hAnsi="Arial" w:cs="Arial"/>
          <w:bCs/>
          <w:color w:val="000000" w:themeColor="text1"/>
          <w:sz w:val="24"/>
          <w:szCs w:val="24"/>
        </w:rPr>
        <w:t xml:space="preserve">: </w:t>
      </w:r>
    </w:p>
    <w:p w14:paraId="3D464C76" w14:textId="77777777" w:rsidR="00E52CDA" w:rsidRPr="00F22F33" w:rsidRDefault="005D438E" w:rsidP="00E52CDA">
      <w:pPr>
        <w:pStyle w:val="Paragrafoelenco"/>
        <w:numPr>
          <w:ilvl w:val="0"/>
          <w:numId w:val="9"/>
        </w:num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le azioni da intraprendere per ridurre </w:t>
      </w:r>
      <w:r w:rsidR="00CA284E" w:rsidRPr="00F22F33">
        <w:rPr>
          <w:rFonts w:ascii="Arial" w:hAnsi="Arial" w:cs="Arial"/>
          <w:bCs/>
          <w:color w:val="000000" w:themeColor="text1"/>
          <w:sz w:val="24"/>
          <w:szCs w:val="24"/>
        </w:rPr>
        <w:t>il grado di</w:t>
      </w:r>
      <w:r w:rsidRPr="00F22F33">
        <w:rPr>
          <w:rFonts w:ascii="Arial" w:hAnsi="Arial" w:cs="Arial"/>
          <w:bCs/>
          <w:color w:val="000000" w:themeColor="text1"/>
          <w:sz w:val="24"/>
          <w:szCs w:val="24"/>
        </w:rPr>
        <w:t xml:space="preserve"> rischio; </w:t>
      </w:r>
    </w:p>
    <w:p w14:paraId="6E62CEFF" w14:textId="113BC6CC" w:rsidR="005D438E" w:rsidRPr="00F22F33" w:rsidRDefault="005D438E" w:rsidP="00E52CDA">
      <w:pPr>
        <w:pStyle w:val="Paragrafoelenco"/>
        <w:numPr>
          <w:ilvl w:val="0"/>
          <w:numId w:val="9"/>
        </w:num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le priorità di trattamento, considerando gli obiettivi dell’organizzazione e il contesto in cui la stessa opera, attraverso il loro confronto.  </w:t>
      </w:r>
    </w:p>
    <w:p w14:paraId="7FDB2793" w14:textId="77777777" w:rsidR="00E52CDA" w:rsidRPr="00F22F33" w:rsidRDefault="00BF10A2"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Per quanto concerne le </w:t>
      </w:r>
      <w:r w:rsidRPr="00F22F33">
        <w:rPr>
          <w:rFonts w:ascii="Arial" w:hAnsi="Arial" w:cs="Arial"/>
          <w:b/>
          <w:bCs/>
          <w:color w:val="000000" w:themeColor="text1"/>
          <w:sz w:val="24"/>
          <w:szCs w:val="24"/>
        </w:rPr>
        <w:t>azioni</w:t>
      </w:r>
      <w:r w:rsidRPr="00F22F33">
        <w:rPr>
          <w:rFonts w:ascii="Arial" w:hAnsi="Arial" w:cs="Arial"/>
          <w:bCs/>
          <w:color w:val="000000" w:themeColor="text1"/>
          <w:sz w:val="24"/>
          <w:szCs w:val="24"/>
        </w:rPr>
        <w:t>, a</w:t>
      </w:r>
      <w:r w:rsidR="00CA284E" w:rsidRPr="00F22F33">
        <w:rPr>
          <w:rFonts w:ascii="Arial" w:hAnsi="Arial" w:cs="Arial"/>
          <w:bCs/>
          <w:color w:val="000000" w:themeColor="text1"/>
          <w:sz w:val="24"/>
          <w:szCs w:val="24"/>
        </w:rPr>
        <w:t>l termine della valutazione del rischio</w:t>
      </w:r>
      <w:r w:rsidRPr="00F22F33">
        <w:rPr>
          <w:rFonts w:ascii="Arial" w:hAnsi="Arial" w:cs="Arial"/>
          <w:bCs/>
          <w:color w:val="000000" w:themeColor="text1"/>
          <w:sz w:val="24"/>
          <w:szCs w:val="24"/>
        </w:rPr>
        <w:t xml:space="preserve"> devono </w:t>
      </w:r>
      <w:r w:rsidR="005D438E" w:rsidRPr="00F22F33">
        <w:rPr>
          <w:rFonts w:ascii="Arial" w:hAnsi="Arial" w:cs="Arial"/>
          <w:bCs/>
          <w:color w:val="000000" w:themeColor="text1"/>
          <w:sz w:val="24"/>
          <w:szCs w:val="24"/>
        </w:rPr>
        <w:t xml:space="preserve">essere </w:t>
      </w:r>
      <w:r w:rsidRPr="00F22F33">
        <w:rPr>
          <w:rFonts w:ascii="Arial" w:hAnsi="Arial" w:cs="Arial"/>
          <w:bCs/>
          <w:color w:val="000000" w:themeColor="text1"/>
          <w:sz w:val="24"/>
          <w:szCs w:val="24"/>
        </w:rPr>
        <w:t>soppesate</w:t>
      </w:r>
      <w:r w:rsidR="005D438E" w:rsidRPr="00F22F33">
        <w:rPr>
          <w:rFonts w:ascii="Arial" w:hAnsi="Arial" w:cs="Arial"/>
          <w:bCs/>
          <w:color w:val="000000" w:themeColor="text1"/>
          <w:sz w:val="24"/>
          <w:szCs w:val="24"/>
        </w:rPr>
        <w:t xml:space="preserve"> diverse opzioni per ridurre l’esposizione di processi</w:t>
      </w:r>
      <w:r w:rsidRPr="00F22F33">
        <w:rPr>
          <w:rFonts w:ascii="Arial" w:hAnsi="Arial" w:cs="Arial"/>
          <w:bCs/>
          <w:color w:val="000000" w:themeColor="text1"/>
          <w:sz w:val="24"/>
          <w:szCs w:val="24"/>
        </w:rPr>
        <w:t xml:space="preserve"> e a</w:t>
      </w:r>
      <w:r w:rsidR="005D438E" w:rsidRPr="00F22F33">
        <w:rPr>
          <w:rFonts w:ascii="Arial" w:hAnsi="Arial" w:cs="Arial"/>
          <w:bCs/>
          <w:color w:val="000000" w:themeColor="text1"/>
          <w:sz w:val="24"/>
          <w:szCs w:val="24"/>
        </w:rPr>
        <w:t xml:space="preserve">ttività alla corruzione. </w:t>
      </w:r>
    </w:p>
    <w:p w14:paraId="5FABF8C2" w14:textId="4B93CAE2" w:rsidR="005D438E" w:rsidRPr="00F22F33" w:rsidRDefault="00BF10A2"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w:t>
      </w:r>
      <w:r w:rsidR="005D438E" w:rsidRPr="00F22F33">
        <w:rPr>
          <w:rFonts w:ascii="Arial" w:hAnsi="Arial" w:cs="Arial"/>
          <w:bCs/>
          <w:color w:val="000000" w:themeColor="text1"/>
          <w:sz w:val="24"/>
          <w:szCs w:val="24"/>
        </w:rPr>
        <w:t>La ponderazione del rischio può anche portare alla decisione di non sottoporre ad ulteriore trattamento il rischio, ma di limitarsi a mantenere attive le misure già esistenti</w:t>
      </w:r>
      <w:r w:rsidRPr="00F22F33">
        <w:rPr>
          <w:rFonts w:ascii="Arial" w:hAnsi="Arial" w:cs="Arial"/>
          <w:bCs/>
          <w:color w:val="000000" w:themeColor="text1"/>
          <w:sz w:val="24"/>
          <w:szCs w:val="24"/>
        </w:rPr>
        <w:t>”</w:t>
      </w:r>
      <w:r w:rsidR="005D438E" w:rsidRPr="00F22F33">
        <w:rPr>
          <w:rFonts w:ascii="Arial" w:hAnsi="Arial" w:cs="Arial"/>
          <w:bCs/>
          <w:color w:val="000000" w:themeColor="text1"/>
          <w:sz w:val="24"/>
          <w:szCs w:val="24"/>
        </w:rPr>
        <w:t>.</w:t>
      </w:r>
    </w:p>
    <w:p w14:paraId="63730882" w14:textId="77777777" w:rsidR="00BF10A2" w:rsidRPr="00F22F33" w:rsidRDefault="005D438E"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Un concetto </w:t>
      </w:r>
      <w:r w:rsidR="00BF10A2" w:rsidRPr="00F22F33">
        <w:rPr>
          <w:rFonts w:ascii="Arial" w:hAnsi="Arial" w:cs="Arial"/>
          <w:bCs/>
          <w:color w:val="000000" w:themeColor="text1"/>
          <w:sz w:val="24"/>
          <w:szCs w:val="24"/>
        </w:rPr>
        <w:t xml:space="preserve">essenziale </w:t>
      </w:r>
      <w:r w:rsidRPr="00F22F33">
        <w:rPr>
          <w:rFonts w:ascii="Arial" w:hAnsi="Arial" w:cs="Arial"/>
          <w:bCs/>
          <w:color w:val="000000" w:themeColor="text1"/>
          <w:sz w:val="24"/>
          <w:szCs w:val="24"/>
        </w:rPr>
        <w:t xml:space="preserve">per </w:t>
      </w:r>
      <w:r w:rsidR="00BF10A2" w:rsidRPr="00F22F33">
        <w:rPr>
          <w:rFonts w:ascii="Arial" w:hAnsi="Arial" w:cs="Arial"/>
          <w:bCs/>
          <w:color w:val="000000" w:themeColor="text1"/>
          <w:sz w:val="24"/>
          <w:szCs w:val="24"/>
        </w:rPr>
        <w:t xml:space="preserve">decidere </w:t>
      </w:r>
      <w:r w:rsidRPr="00F22F33">
        <w:rPr>
          <w:rFonts w:ascii="Arial" w:hAnsi="Arial" w:cs="Arial"/>
          <w:bCs/>
          <w:color w:val="000000" w:themeColor="text1"/>
          <w:sz w:val="24"/>
          <w:szCs w:val="24"/>
        </w:rPr>
        <w:t xml:space="preserve">se attuare nuove azioni è quello di </w:t>
      </w:r>
      <w:r w:rsidR="00BF10A2" w:rsidRPr="00F22F33">
        <w:rPr>
          <w:rFonts w:ascii="Arial" w:hAnsi="Arial" w:cs="Arial"/>
          <w:bCs/>
          <w:color w:val="000000" w:themeColor="text1"/>
          <w:sz w:val="24"/>
          <w:szCs w:val="24"/>
        </w:rPr>
        <w:t>“</w:t>
      </w:r>
      <w:r w:rsidRPr="00F22F33">
        <w:rPr>
          <w:rFonts w:ascii="Arial" w:hAnsi="Arial" w:cs="Arial"/>
          <w:bCs/>
          <w:color w:val="000000" w:themeColor="text1"/>
          <w:sz w:val="24"/>
          <w:szCs w:val="24"/>
        </w:rPr>
        <w:t>rischio residuo</w:t>
      </w:r>
      <w:r w:rsidR="00BF10A2" w:rsidRPr="00F22F33">
        <w:rPr>
          <w:rFonts w:ascii="Arial" w:hAnsi="Arial" w:cs="Arial"/>
          <w:bCs/>
          <w:color w:val="000000" w:themeColor="text1"/>
          <w:sz w:val="24"/>
          <w:szCs w:val="24"/>
        </w:rPr>
        <w:t xml:space="preserve">” </w:t>
      </w:r>
      <w:r w:rsidR="00827119" w:rsidRPr="00F22F33">
        <w:rPr>
          <w:rFonts w:ascii="Arial" w:hAnsi="Arial" w:cs="Arial"/>
          <w:bCs/>
          <w:color w:val="000000" w:themeColor="text1"/>
          <w:sz w:val="24"/>
          <w:szCs w:val="24"/>
        </w:rPr>
        <w:t xml:space="preserve">che </w:t>
      </w:r>
      <w:r w:rsidR="00BF10A2" w:rsidRPr="00F22F33">
        <w:rPr>
          <w:rFonts w:ascii="Arial" w:hAnsi="Arial" w:cs="Arial"/>
          <w:bCs/>
          <w:color w:val="000000" w:themeColor="text1"/>
          <w:sz w:val="24"/>
          <w:szCs w:val="24"/>
        </w:rPr>
        <w:t xml:space="preserve">consiste nel </w:t>
      </w:r>
      <w:r w:rsidRPr="00F22F33">
        <w:rPr>
          <w:rFonts w:ascii="Arial" w:hAnsi="Arial" w:cs="Arial"/>
          <w:bCs/>
          <w:color w:val="000000" w:themeColor="text1"/>
          <w:sz w:val="24"/>
          <w:szCs w:val="24"/>
        </w:rPr>
        <w:t>rischio che permane una volta che le misure di prevenzione s</w:t>
      </w:r>
      <w:r w:rsidR="00BF10A2" w:rsidRPr="00F22F33">
        <w:rPr>
          <w:rFonts w:ascii="Arial" w:hAnsi="Arial" w:cs="Arial"/>
          <w:bCs/>
          <w:color w:val="000000" w:themeColor="text1"/>
          <w:sz w:val="24"/>
          <w:szCs w:val="24"/>
        </w:rPr>
        <w:t>iano</w:t>
      </w:r>
      <w:r w:rsidRPr="00F22F33">
        <w:rPr>
          <w:rFonts w:ascii="Arial" w:hAnsi="Arial" w:cs="Arial"/>
          <w:bCs/>
          <w:color w:val="000000" w:themeColor="text1"/>
          <w:sz w:val="24"/>
          <w:szCs w:val="24"/>
        </w:rPr>
        <w:t xml:space="preserve"> state correttamente attuate. </w:t>
      </w:r>
    </w:p>
    <w:p w14:paraId="4F1A61DB" w14:textId="77777777" w:rsidR="00BF10A2" w:rsidRPr="00F22F33" w:rsidRDefault="00BF10A2" w:rsidP="003B2613">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lastRenderedPageBreak/>
        <w:t xml:space="preserve">L’attuazione delle azioni di prevenzione deve avere come obiettivo la riduzione del rischio residuo ad un livello quanto più prossimo allo zero. </w:t>
      </w:r>
      <w:r w:rsidR="00827119" w:rsidRPr="00F22F33">
        <w:rPr>
          <w:rFonts w:ascii="Arial" w:hAnsi="Arial" w:cs="Arial"/>
          <w:bCs/>
          <w:color w:val="000000" w:themeColor="text1"/>
          <w:sz w:val="24"/>
          <w:szCs w:val="24"/>
        </w:rPr>
        <w:t>Ma i</w:t>
      </w:r>
      <w:r w:rsidR="005D438E" w:rsidRPr="00F22F33">
        <w:rPr>
          <w:rFonts w:ascii="Arial" w:hAnsi="Arial" w:cs="Arial"/>
          <w:bCs/>
          <w:color w:val="000000" w:themeColor="text1"/>
          <w:sz w:val="24"/>
          <w:szCs w:val="24"/>
        </w:rPr>
        <w:t>l rischio residuo non potrà mai essere del tutto azzerato in quanto, anche in presenza di misure di prevenzione, la p</w:t>
      </w:r>
      <w:r w:rsidRPr="00F22F33">
        <w:rPr>
          <w:rFonts w:ascii="Arial" w:hAnsi="Arial" w:cs="Arial"/>
          <w:bCs/>
          <w:color w:val="000000" w:themeColor="text1"/>
          <w:sz w:val="24"/>
          <w:szCs w:val="24"/>
        </w:rPr>
        <w:t>robabilità</w:t>
      </w:r>
      <w:r w:rsidR="005D438E" w:rsidRPr="00F22F33">
        <w:rPr>
          <w:rFonts w:ascii="Arial" w:hAnsi="Arial" w:cs="Arial"/>
          <w:bCs/>
          <w:color w:val="000000" w:themeColor="text1"/>
          <w:sz w:val="24"/>
          <w:szCs w:val="24"/>
        </w:rPr>
        <w:t xml:space="preserve"> che si verifichino fenomeni </w:t>
      </w:r>
      <w:r w:rsidR="00827119" w:rsidRPr="00F22F33">
        <w:rPr>
          <w:rFonts w:ascii="Arial" w:hAnsi="Arial" w:cs="Arial"/>
          <w:bCs/>
          <w:color w:val="000000" w:themeColor="text1"/>
          <w:sz w:val="24"/>
          <w:szCs w:val="24"/>
        </w:rPr>
        <w:t>di malaffare</w:t>
      </w:r>
      <w:r w:rsidRPr="00F22F33">
        <w:rPr>
          <w:rFonts w:ascii="Arial" w:hAnsi="Arial" w:cs="Arial"/>
          <w:bCs/>
          <w:color w:val="000000" w:themeColor="text1"/>
          <w:sz w:val="24"/>
          <w:szCs w:val="24"/>
        </w:rPr>
        <w:t xml:space="preserve"> non potrà mai essere del tutto annullata.</w:t>
      </w:r>
    </w:p>
    <w:p w14:paraId="4228E759" w14:textId="77777777" w:rsidR="005D438E" w:rsidRPr="00F22F33" w:rsidRDefault="005D438E" w:rsidP="003B2613">
      <w:pPr>
        <w:spacing w:before="120" w:after="0" w:line="240" w:lineRule="auto"/>
        <w:jc w:val="both"/>
        <w:rPr>
          <w:rFonts w:ascii="Arial" w:hAnsi="Arial" w:cs="Arial"/>
          <w:b/>
          <w:bCs/>
          <w:color w:val="000000" w:themeColor="text1"/>
          <w:sz w:val="24"/>
          <w:szCs w:val="24"/>
        </w:rPr>
      </w:pPr>
      <w:r w:rsidRPr="00F22F33">
        <w:rPr>
          <w:rFonts w:ascii="Arial" w:hAnsi="Arial" w:cs="Arial"/>
          <w:bCs/>
          <w:color w:val="000000" w:themeColor="text1"/>
          <w:sz w:val="24"/>
          <w:szCs w:val="24"/>
        </w:rPr>
        <w:t xml:space="preserve">Per quanto </w:t>
      </w:r>
      <w:r w:rsidR="00BF10A2" w:rsidRPr="00F22F33">
        <w:rPr>
          <w:rFonts w:ascii="Arial" w:hAnsi="Arial" w:cs="Arial"/>
          <w:bCs/>
          <w:color w:val="000000" w:themeColor="text1"/>
          <w:sz w:val="24"/>
          <w:szCs w:val="24"/>
        </w:rPr>
        <w:t>concerne</w:t>
      </w:r>
      <w:r w:rsidRPr="00F22F33">
        <w:rPr>
          <w:rFonts w:ascii="Arial" w:hAnsi="Arial" w:cs="Arial"/>
          <w:bCs/>
          <w:color w:val="000000" w:themeColor="text1"/>
          <w:sz w:val="24"/>
          <w:szCs w:val="24"/>
        </w:rPr>
        <w:t xml:space="preserve"> la definizione delle </w:t>
      </w:r>
      <w:r w:rsidRPr="00F22F33">
        <w:rPr>
          <w:rFonts w:ascii="Arial" w:hAnsi="Arial" w:cs="Arial"/>
          <w:b/>
          <w:bCs/>
          <w:color w:val="000000" w:themeColor="text1"/>
          <w:sz w:val="24"/>
          <w:szCs w:val="24"/>
        </w:rPr>
        <w:t>priorità</w:t>
      </w:r>
      <w:r w:rsidRPr="00F22F33">
        <w:rPr>
          <w:rFonts w:ascii="Arial" w:hAnsi="Arial" w:cs="Arial"/>
          <w:bCs/>
          <w:color w:val="000000" w:themeColor="text1"/>
          <w:sz w:val="24"/>
          <w:szCs w:val="24"/>
        </w:rPr>
        <w:t xml:space="preserve"> di trattamento, nell’impostare le azioni di prevenzione si dovrà tener conto del livello di esposizione al rischio e </w:t>
      </w:r>
      <w:r w:rsidR="00BF10A2" w:rsidRPr="00F22F33">
        <w:rPr>
          <w:rFonts w:ascii="Arial" w:hAnsi="Arial" w:cs="Arial"/>
          <w:bCs/>
          <w:color w:val="000000" w:themeColor="text1"/>
          <w:sz w:val="24"/>
          <w:szCs w:val="24"/>
        </w:rPr>
        <w:t>“</w:t>
      </w:r>
      <w:r w:rsidRPr="00F22F33">
        <w:rPr>
          <w:rFonts w:ascii="Arial" w:hAnsi="Arial" w:cs="Arial"/>
          <w:bCs/>
          <w:color w:val="000000" w:themeColor="text1"/>
          <w:sz w:val="24"/>
          <w:szCs w:val="24"/>
        </w:rPr>
        <w:t>procedere in ordine via via decrescente</w:t>
      </w:r>
      <w:r w:rsidR="00BF10A2" w:rsidRPr="00F22F33">
        <w:rPr>
          <w:rFonts w:ascii="Arial" w:hAnsi="Arial" w:cs="Arial"/>
          <w:bCs/>
          <w:color w:val="000000" w:themeColor="text1"/>
          <w:sz w:val="24"/>
          <w:szCs w:val="24"/>
        </w:rPr>
        <w:t>”</w:t>
      </w:r>
      <w:r w:rsidRPr="00F22F33">
        <w:rPr>
          <w:rFonts w:ascii="Arial" w:hAnsi="Arial" w:cs="Arial"/>
          <w:bCs/>
          <w:color w:val="000000" w:themeColor="text1"/>
          <w:sz w:val="24"/>
          <w:szCs w:val="24"/>
        </w:rPr>
        <w:t xml:space="preserve">, </w:t>
      </w:r>
      <w:r w:rsidR="00BF10A2" w:rsidRPr="00F22F33">
        <w:rPr>
          <w:rFonts w:ascii="Arial" w:hAnsi="Arial" w:cs="Arial"/>
          <w:bCs/>
          <w:color w:val="000000" w:themeColor="text1"/>
          <w:sz w:val="24"/>
          <w:szCs w:val="24"/>
        </w:rPr>
        <w:t>iniziando</w:t>
      </w:r>
      <w:r w:rsidRPr="00F22F33">
        <w:rPr>
          <w:rFonts w:ascii="Arial" w:hAnsi="Arial" w:cs="Arial"/>
          <w:bCs/>
          <w:color w:val="000000" w:themeColor="text1"/>
          <w:sz w:val="24"/>
          <w:szCs w:val="24"/>
        </w:rPr>
        <w:t xml:space="preserve"> dalle attività che presentano un’esposizione più elevata fino ad arrivare al trattamento di quelle </w:t>
      </w:r>
      <w:r w:rsidR="00827119" w:rsidRPr="00F22F33">
        <w:rPr>
          <w:rFonts w:ascii="Arial" w:hAnsi="Arial" w:cs="Arial"/>
          <w:bCs/>
          <w:color w:val="000000" w:themeColor="text1"/>
          <w:sz w:val="24"/>
          <w:szCs w:val="24"/>
        </w:rPr>
        <w:t xml:space="preserve">con un rischio più contenuto. </w:t>
      </w:r>
    </w:p>
    <w:p w14:paraId="16E40DF5" w14:textId="77777777" w:rsidR="00E52CDA" w:rsidRPr="00F22F33" w:rsidRDefault="00E52CDA" w:rsidP="00AE3ADE">
      <w:pPr>
        <w:spacing w:before="120" w:after="0" w:line="240" w:lineRule="auto"/>
        <w:jc w:val="both"/>
        <w:rPr>
          <w:rFonts w:ascii="Arial" w:hAnsi="Arial" w:cs="Arial"/>
          <w:bCs/>
          <w:i/>
          <w:iCs/>
          <w:color w:val="FF0000"/>
          <w:sz w:val="24"/>
          <w:szCs w:val="24"/>
        </w:rPr>
      </w:pPr>
    </w:p>
    <w:p w14:paraId="552742D9" w14:textId="3FAF9074" w:rsidR="001D6F11" w:rsidRPr="00F22F33" w:rsidRDefault="001D6F11" w:rsidP="00EB4741">
      <w:pPr>
        <w:pStyle w:val="TitoloB"/>
        <w:keepNext/>
        <w:widowControl w:val="0"/>
        <w:numPr>
          <w:ilvl w:val="0"/>
          <w:numId w:val="8"/>
        </w:numPr>
        <w:spacing w:after="360" w:line="280" w:lineRule="exact"/>
        <w:ind w:right="0"/>
        <w:jc w:val="both"/>
        <w:outlineLvl w:val="1"/>
        <w:rPr>
          <w:color w:val="0F243E" w:themeColor="text2" w:themeShade="80"/>
          <w:sz w:val="24"/>
          <w:szCs w:val="24"/>
        </w:rPr>
      </w:pPr>
      <w:bookmarkStart w:id="91" w:name="_Toc25585732"/>
      <w:bookmarkStart w:id="92" w:name="_Toc131582820"/>
      <w:bookmarkStart w:id="93" w:name="_Toc131582929"/>
      <w:bookmarkStart w:id="94" w:name="_Toc131583548"/>
      <w:r w:rsidRPr="00F22F33">
        <w:rPr>
          <w:color w:val="0F243E" w:themeColor="text2" w:themeShade="80"/>
          <w:sz w:val="24"/>
          <w:szCs w:val="24"/>
        </w:rPr>
        <w:t>Trattamento del rischio</w:t>
      </w:r>
      <w:bookmarkEnd w:id="91"/>
      <w:bookmarkEnd w:id="92"/>
      <w:bookmarkEnd w:id="93"/>
      <w:bookmarkEnd w:id="94"/>
      <w:r w:rsidRPr="00F22F33">
        <w:rPr>
          <w:color w:val="0F243E" w:themeColor="text2" w:themeShade="80"/>
          <w:sz w:val="24"/>
          <w:szCs w:val="24"/>
        </w:rPr>
        <w:t xml:space="preserve"> </w:t>
      </w:r>
    </w:p>
    <w:p w14:paraId="03193E48" w14:textId="0E62D8B8" w:rsidR="003349F4" w:rsidRPr="00F22F33" w:rsidRDefault="003349F4" w:rsidP="003349F4">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Il trattamento del rischio è il processo in cui si individuano le misure idonee a prevenire il rischio corruttivo cui l’organizzazione è esposta; </w:t>
      </w:r>
    </w:p>
    <w:p w14:paraId="4EF12FD3" w14:textId="5CA5CB7A" w:rsidR="001D6F11"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In tale fase </w:t>
      </w:r>
      <w:r w:rsidR="000A3026" w:rsidRPr="00F22F33">
        <w:rPr>
          <w:rFonts w:ascii="Arial" w:hAnsi="Arial" w:cs="Arial"/>
          <w:bCs/>
          <w:color w:val="000000" w:themeColor="text1"/>
          <w:sz w:val="24"/>
          <w:szCs w:val="24"/>
        </w:rPr>
        <w:t>si progetta</w:t>
      </w:r>
      <w:r w:rsidRPr="00F22F33">
        <w:rPr>
          <w:rFonts w:ascii="Arial" w:hAnsi="Arial" w:cs="Arial"/>
          <w:bCs/>
          <w:color w:val="000000" w:themeColor="text1"/>
          <w:sz w:val="24"/>
          <w:szCs w:val="24"/>
        </w:rPr>
        <w:t xml:space="preserve"> l’attuazione di misure specifiche e puntuali</w:t>
      </w:r>
      <w:r w:rsidR="00E52CDA" w:rsidRPr="00F22F33">
        <w:rPr>
          <w:rFonts w:ascii="Arial" w:hAnsi="Arial" w:cs="Arial"/>
          <w:bCs/>
          <w:color w:val="000000" w:themeColor="text1"/>
          <w:sz w:val="24"/>
          <w:szCs w:val="24"/>
        </w:rPr>
        <w:t xml:space="preserve">, </w:t>
      </w:r>
      <w:r w:rsidRPr="00F22F33">
        <w:rPr>
          <w:rFonts w:ascii="Arial" w:hAnsi="Arial" w:cs="Arial"/>
          <w:bCs/>
          <w:color w:val="000000" w:themeColor="text1"/>
          <w:sz w:val="24"/>
          <w:szCs w:val="24"/>
        </w:rPr>
        <w:t>prevede</w:t>
      </w:r>
      <w:r w:rsidR="00E52CDA" w:rsidRPr="00F22F33">
        <w:rPr>
          <w:rFonts w:ascii="Arial" w:hAnsi="Arial" w:cs="Arial"/>
          <w:bCs/>
          <w:color w:val="000000" w:themeColor="text1"/>
          <w:sz w:val="24"/>
          <w:szCs w:val="24"/>
        </w:rPr>
        <w:t>ndo</w:t>
      </w:r>
      <w:r w:rsidRPr="00F22F33">
        <w:rPr>
          <w:rFonts w:ascii="Arial" w:hAnsi="Arial" w:cs="Arial"/>
          <w:bCs/>
          <w:color w:val="000000" w:themeColor="text1"/>
          <w:sz w:val="24"/>
          <w:szCs w:val="24"/>
        </w:rPr>
        <w:t xml:space="preserve"> scadenze ragionevoli in base alle priorità rilevate e alle risorse disponibili. </w:t>
      </w:r>
    </w:p>
    <w:p w14:paraId="30EBA9A7" w14:textId="6FB28AF4" w:rsidR="001D6F11" w:rsidRPr="00F22F33" w:rsidRDefault="003349F4"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L</w:t>
      </w:r>
      <w:r w:rsidR="00617606" w:rsidRPr="00F22F33">
        <w:rPr>
          <w:rFonts w:ascii="Arial" w:hAnsi="Arial" w:cs="Arial"/>
          <w:bCs/>
          <w:color w:val="000000" w:themeColor="text1"/>
          <w:sz w:val="24"/>
          <w:szCs w:val="24"/>
        </w:rPr>
        <w:t>e misure possono essere</w:t>
      </w:r>
      <w:r w:rsidR="00E52CDA" w:rsidRPr="00F22F33">
        <w:rPr>
          <w:rFonts w:ascii="Arial" w:hAnsi="Arial" w:cs="Arial"/>
          <w:bCs/>
          <w:color w:val="000000" w:themeColor="text1"/>
          <w:sz w:val="24"/>
          <w:szCs w:val="24"/>
        </w:rPr>
        <w:t xml:space="preserve"> classificate in</w:t>
      </w:r>
      <w:r w:rsidR="00617606" w:rsidRPr="00F22F33">
        <w:rPr>
          <w:rFonts w:ascii="Arial" w:hAnsi="Arial" w:cs="Arial"/>
          <w:bCs/>
          <w:color w:val="000000" w:themeColor="text1"/>
          <w:sz w:val="24"/>
          <w:szCs w:val="24"/>
        </w:rPr>
        <w:t xml:space="preserve"> "</w:t>
      </w:r>
      <w:r w:rsidR="001D6F11" w:rsidRPr="00F22F33">
        <w:rPr>
          <w:rFonts w:ascii="Arial" w:hAnsi="Arial" w:cs="Arial"/>
          <w:b/>
          <w:bCs/>
          <w:color w:val="000000" w:themeColor="text1"/>
          <w:sz w:val="24"/>
          <w:szCs w:val="24"/>
        </w:rPr>
        <w:t>generali</w:t>
      </w:r>
      <w:r w:rsidR="00617606" w:rsidRPr="00F22F33">
        <w:rPr>
          <w:rFonts w:ascii="Arial" w:hAnsi="Arial" w:cs="Arial"/>
          <w:bCs/>
          <w:color w:val="000000" w:themeColor="text1"/>
          <w:sz w:val="24"/>
          <w:szCs w:val="24"/>
        </w:rPr>
        <w:t xml:space="preserve">" </w:t>
      </w:r>
      <w:r w:rsidR="00E52CDA" w:rsidRPr="00F22F33">
        <w:rPr>
          <w:rFonts w:ascii="Arial" w:hAnsi="Arial" w:cs="Arial"/>
          <w:bCs/>
          <w:color w:val="000000" w:themeColor="text1"/>
          <w:sz w:val="24"/>
          <w:szCs w:val="24"/>
        </w:rPr>
        <w:t>e</w:t>
      </w:r>
      <w:r w:rsidR="00617606" w:rsidRPr="00F22F33">
        <w:rPr>
          <w:rFonts w:ascii="Arial" w:hAnsi="Arial" w:cs="Arial"/>
          <w:bCs/>
          <w:color w:val="000000" w:themeColor="text1"/>
          <w:sz w:val="24"/>
          <w:szCs w:val="24"/>
        </w:rPr>
        <w:t xml:space="preserve"> "</w:t>
      </w:r>
      <w:r w:rsidR="001D6F11" w:rsidRPr="00F22F33">
        <w:rPr>
          <w:rFonts w:ascii="Arial" w:hAnsi="Arial" w:cs="Arial"/>
          <w:b/>
          <w:bCs/>
          <w:color w:val="000000" w:themeColor="text1"/>
          <w:sz w:val="24"/>
          <w:szCs w:val="24"/>
        </w:rPr>
        <w:t>specifiche</w:t>
      </w:r>
      <w:r w:rsidR="00617606" w:rsidRPr="00F22F33">
        <w:rPr>
          <w:rFonts w:ascii="Arial" w:hAnsi="Arial" w:cs="Arial"/>
          <w:bCs/>
          <w:color w:val="000000" w:themeColor="text1"/>
          <w:sz w:val="24"/>
          <w:szCs w:val="24"/>
        </w:rPr>
        <w:t>"</w:t>
      </w:r>
      <w:r w:rsidR="001D6F11" w:rsidRPr="00F22F33">
        <w:rPr>
          <w:rFonts w:ascii="Arial" w:hAnsi="Arial" w:cs="Arial"/>
          <w:bCs/>
          <w:color w:val="000000" w:themeColor="text1"/>
          <w:sz w:val="24"/>
          <w:szCs w:val="24"/>
        </w:rPr>
        <w:t xml:space="preserve">. </w:t>
      </w:r>
    </w:p>
    <w:p w14:paraId="5BD8395E" w14:textId="530DD067" w:rsidR="001D6F11" w:rsidRPr="00F22F33" w:rsidRDefault="00E52CDA" w:rsidP="001D6F11">
      <w:pPr>
        <w:spacing w:before="120" w:after="0" w:line="240" w:lineRule="auto"/>
        <w:jc w:val="both"/>
        <w:rPr>
          <w:rFonts w:ascii="Arial" w:hAnsi="Arial" w:cs="Arial"/>
          <w:bCs/>
          <w:color w:val="000000" w:themeColor="text1"/>
          <w:sz w:val="24"/>
          <w:szCs w:val="24"/>
        </w:rPr>
      </w:pPr>
      <w:r w:rsidRPr="00F22F33">
        <w:rPr>
          <w:rFonts w:ascii="Arial" w:hAnsi="Arial" w:cs="Arial"/>
          <w:b/>
          <w:bCs/>
          <w:color w:val="000000" w:themeColor="text1"/>
          <w:sz w:val="24"/>
          <w:szCs w:val="24"/>
        </w:rPr>
        <w:t>M</w:t>
      </w:r>
      <w:r w:rsidR="001D6F11" w:rsidRPr="00F22F33">
        <w:rPr>
          <w:rFonts w:ascii="Arial" w:hAnsi="Arial" w:cs="Arial"/>
          <w:b/>
          <w:bCs/>
          <w:color w:val="000000" w:themeColor="text1"/>
          <w:sz w:val="24"/>
          <w:szCs w:val="24"/>
        </w:rPr>
        <w:t>isure generali</w:t>
      </w:r>
      <w:r w:rsidRPr="00F22F33">
        <w:rPr>
          <w:rFonts w:ascii="Arial" w:hAnsi="Arial" w:cs="Arial"/>
          <w:b/>
          <w:bCs/>
          <w:color w:val="000000" w:themeColor="text1"/>
          <w:sz w:val="24"/>
          <w:szCs w:val="24"/>
        </w:rPr>
        <w:t xml:space="preserve">: </w:t>
      </w:r>
      <w:r w:rsidRPr="00F22F33">
        <w:rPr>
          <w:rFonts w:ascii="Arial" w:hAnsi="Arial" w:cs="Arial"/>
          <w:bCs/>
          <w:color w:val="000000" w:themeColor="text1"/>
          <w:sz w:val="24"/>
          <w:szCs w:val="24"/>
        </w:rPr>
        <w:t>misure che</w:t>
      </w:r>
      <w:r w:rsidR="001D6F11" w:rsidRPr="00F22F33">
        <w:rPr>
          <w:rFonts w:ascii="Arial" w:hAnsi="Arial" w:cs="Arial"/>
          <w:bCs/>
          <w:color w:val="000000" w:themeColor="text1"/>
          <w:sz w:val="24"/>
          <w:szCs w:val="24"/>
        </w:rPr>
        <w:t xml:space="preserve"> intervengono in maniera trasversale sull’intera amministrazione e si caratterizzano per la loro incidenza sul sistema complessivo della prevenzione della corruzione</w:t>
      </w:r>
      <w:r w:rsidRPr="00F22F33">
        <w:rPr>
          <w:rFonts w:ascii="Arial" w:hAnsi="Arial" w:cs="Arial"/>
          <w:bCs/>
          <w:color w:val="000000" w:themeColor="text1"/>
          <w:sz w:val="24"/>
          <w:szCs w:val="24"/>
        </w:rPr>
        <w:t xml:space="preserve">. </w:t>
      </w:r>
      <w:r w:rsidR="001D6F11" w:rsidRPr="00F22F33">
        <w:rPr>
          <w:rFonts w:ascii="Arial" w:hAnsi="Arial" w:cs="Arial"/>
          <w:bCs/>
          <w:color w:val="000000" w:themeColor="text1"/>
          <w:sz w:val="24"/>
          <w:szCs w:val="24"/>
        </w:rPr>
        <w:t xml:space="preserve"> </w:t>
      </w:r>
    </w:p>
    <w:p w14:paraId="111DB2DA" w14:textId="46F25302" w:rsidR="001D6F11" w:rsidRPr="00F22F33" w:rsidRDefault="00E52CDA" w:rsidP="001D6F11">
      <w:pPr>
        <w:spacing w:before="120" w:after="0" w:line="240" w:lineRule="auto"/>
        <w:jc w:val="both"/>
        <w:rPr>
          <w:rFonts w:ascii="Arial" w:hAnsi="Arial" w:cs="Arial"/>
          <w:bCs/>
          <w:color w:val="000000" w:themeColor="text1"/>
          <w:sz w:val="24"/>
          <w:szCs w:val="24"/>
        </w:rPr>
      </w:pPr>
      <w:r w:rsidRPr="00F22F33">
        <w:rPr>
          <w:rFonts w:ascii="Arial" w:hAnsi="Arial" w:cs="Arial"/>
          <w:b/>
          <w:bCs/>
          <w:color w:val="000000" w:themeColor="text1"/>
          <w:sz w:val="24"/>
          <w:szCs w:val="24"/>
        </w:rPr>
        <w:t xml:space="preserve">Misure </w:t>
      </w:r>
      <w:r w:rsidR="001D6F11" w:rsidRPr="00F22F33">
        <w:rPr>
          <w:rFonts w:ascii="Arial" w:hAnsi="Arial" w:cs="Arial"/>
          <w:b/>
          <w:bCs/>
          <w:color w:val="000000" w:themeColor="text1"/>
          <w:sz w:val="24"/>
          <w:szCs w:val="24"/>
        </w:rPr>
        <w:t>specifiche</w:t>
      </w:r>
      <w:r w:rsidRPr="00F22F33">
        <w:rPr>
          <w:rFonts w:ascii="Arial" w:hAnsi="Arial" w:cs="Arial"/>
          <w:b/>
          <w:bCs/>
          <w:color w:val="000000" w:themeColor="text1"/>
          <w:sz w:val="24"/>
          <w:szCs w:val="24"/>
        </w:rPr>
        <w:t xml:space="preserve">: </w:t>
      </w:r>
      <w:r w:rsidRPr="00F22F33">
        <w:rPr>
          <w:rFonts w:ascii="Arial" w:hAnsi="Arial" w:cs="Arial"/>
          <w:bCs/>
          <w:color w:val="000000" w:themeColor="text1"/>
          <w:sz w:val="24"/>
          <w:szCs w:val="24"/>
        </w:rPr>
        <w:t>sono misure</w:t>
      </w:r>
      <w:r w:rsidR="001D6F11" w:rsidRPr="00F22F33">
        <w:rPr>
          <w:rFonts w:ascii="Arial" w:hAnsi="Arial" w:cs="Arial"/>
          <w:bCs/>
          <w:color w:val="000000" w:themeColor="text1"/>
          <w:sz w:val="24"/>
          <w:szCs w:val="24"/>
        </w:rPr>
        <w:t xml:space="preserve"> agiscono in maniera puntuale su alcuni specifici rischi individuati in fase di valutazione del rischio e si caratterizzano dunque per l’incidenza su problemi specifici. </w:t>
      </w:r>
    </w:p>
    <w:p w14:paraId="2DD3D8EC" w14:textId="77777777" w:rsidR="001D6F11" w:rsidRPr="00F22F33" w:rsidRDefault="001D6F11" w:rsidP="001D6F11">
      <w:pPr>
        <w:spacing w:before="120" w:after="0" w:line="240" w:lineRule="auto"/>
        <w:jc w:val="both"/>
        <w:rPr>
          <w:rFonts w:ascii="Arial" w:hAnsi="Arial" w:cs="Arial"/>
          <w:bCs/>
          <w:color w:val="000000" w:themeColor="text1"/>
          <w:sz w:val="24"/>
          <w:szCs w:val="24"/>
        </w:rPr>
      </w:pPr>
    </w:p>
    <w:p w14:paraId="33359187" w14:textId="78EE7039" w:rsidR="00A95749" w:rsidRPr="00F22F33" w:rsidRDefault="003349F4" w:rsidP="00BD56A5">
      <w:pPr>
        <w:pStyle w:val="TitoloB"/>
        <w:keepNext/>
        <w:widowControl w:val="0"/>
        <w:spacing w:after="360" w:line="280" w:lineRule="exact"/>
        <w:ind w:right="0"/>
        <w:jc w:val="both"/>
        <w:outlineLvl w:val="1"/>
        <w:rPr>
          <w:color w:val="0F243E" w:themeColor="text2" w:themeShade="80"/>
          <w:sz w:val="24"/>
          <w:szCs w:val="24"/>
        </w:rPr>
      </w:pPr>
      <w:bookmarkStart w:id="95" w:name="_Toc25585733"/>
      <w:bookmarkStart w:id="96" w:name="_Toc131582821"/>
      <w:bookmarkStart w:id="97" w:name="_Toc131582930"/>
      <w:bookmarkStart w:id="98" w:name="_Toc131583549"/>
      <w:r w:rsidRPr="00F22F33">
        <w:rPr>
          <w:color w:val="0F243E" w:themeColor="text2" w:themeShade="80"/>
          <w:sz w:val="24"/>
          <w:szCs w:val="24"/>
        </w:rPr>
        <w:t>4</w:t>
      </w:r>
      <w:r w:rsidR="00920EAF" w:rsidRPr="00F22F33">
        <w:rPr>
          <w:color w:val="0F243E" w:themeColor="text2" w:themeShade="80"/>
          <w:sz w:val="24"/>
          <w:szCs w:val="24"/>
        </w:rPr>
        <w:t>.1.</w:t>
      </w:r>
      <w:r w:rsidR="00841AB7" w:rsidRPr="00F22F33">
        <w:rPr>
          <w:color w:val="0F243E" w:themeColor="text2" w:themeShade="80"/>
          <w:sz w:val="24"/>
          <w:szCs w:val="24"/>
        </w:rPr>
        <w:t xml:space="preserve"> </w:t>
      </w:r>
      <w:r w:rsidR="00A95749" w:rsidRPr="00F22F33">
        <w:rPr>
          <w:color w:val="0F243E" w:themeColor="text2" w:themeShade="80"/>
          <w:sz w:val="24"/>
          <w:szCs w:val="24"/>
        </w:rPr>
        <w:t>Individuazione delle misure</w:t>
      </w:r>
      <w:bookmarkEnd w:id="95"/>
      <w:bookmarkEnd w:id="96"/>
      <w:bookmarkEnd w:id="97"/>
      <w:bookmarkEnd w:id="98"/>
    </w:p>
    <w:p w14:paraId="3703E02A" w14:textId="032E6921"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L’obiettivo</w:t>
      </w:r>
      <w:r w:rsidR="006A77AA" w:rsidRPr="00F22F33">
        <w:rPr>
          <w:rFonts w:ascii="Arial" w:hAnsi="Arial" w:cs="Arial"/>
          <w:bCs/>
          <w:color w:val="000000" w:themeColor="text1"/>
          <w:sz w:val="24"/>
          <w:szCs w:val="24"/>
        </w:rPr>
        <w:t>,</w:t>
      </w:r>
      <w:r w:rsidRPr="00F22F33">
        <w:rPr>
          <w:rFonts w:ascii="Arial" w:hAnsi="Arial" w:cs="Arial"/>
          <w:bCs/>
          <w:color w:val="000000" w:themeColor="text1"/>
          <w:sz w:val="24"/>
          <w:szCs w:val="24"/>
        </w:rPr>
        <w:t xml:space="preserve"> di questa prima fase del trattamento</w:t>
      </w:r>
      <w:r w:rsidR="006A77AA" w:rsidRPr="00F22F33">
        <w:rPr>
          <w:rFonts w:ascii="Arial" w:hAnsi="Arial" w:cs="Arial"/>
          <w:bCs/>
          <w:color w:val="000000" w:themeColor="text1"/>
          <w:sz w:val="24"/>
          <w:szCs w:val="24"/>
        </w:rPr>
        <w:t>,</w:t>
      </w:r>
      <w:r w:rsidRPr="00F22F33">
        <w:rPr>
          <w:rFonts w:ascii="Arial" w:hAnsi="Arial" w:cs="Arial"/>
          <w:bCs/>
          <w:color w:val="000000" w:themeColor="text1"/>
          <w:sz w:val="24"/>
          <w:szCs w:val="24"/>
        </w:rPr>
        <w:t xml:space="preserve"> è di individuare, per quei rischi (e attività del processo cui si riferiscono) ritenuti prioritari, l’elenco delle possibili misure di prevenzione della corruzione abbinate a tali rischi. </w:t>
      </w:r>
    </w:p>
    <w:p w14:paraId="2ABB6FBE" w14:textId="0305BF37" w:rsidR="00773722" w:rsidRPr="00F22F33" w:rsidRDefault="00A95749"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Il PNA suggerisce le misure seguenti</w:t>
      </w:r>
      <w:r w:rsidR="00FD70C3" w:rsidRPr="00F22F33">
        <w:rPr>
          <w:rFonts w:ascii="Arial" w:hAnsi="Arial" w:cs="Arial"/>
          <w:bCs/>
          <w:color w:val="000000" w:themeColor="text1"/>
          <w:sz w:val="24"/>
          <w:szCs w:val="24"/>
        </w:rPr>
        <w:t>:</w:t>
      </w:r>
    </w:p>
    <w:p w14:paraId="73BAA69C" w14:textId="77777777" w:rsidR="00E95F34"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controllo; </w:t>
      </w:r>
    </w:p>
    <w:p w14:paraId="5A969FAA" w14:textId="77777777"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trasparenza; </w:t>
      </w:r>
    </w:p>
    <w:p w14:paraId="5F78134C" w14:textId="77777777"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definizione e promozione dell’etica e di standard di comportamento; </w:t>
      </w:r>
    </w:p>
    <w:p w14:paraId="1C8942F2" w14:textId="77777777"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regolamentazione; </w:t>
      </w:r>
    </w:p>
    <w:p w14:paraId="58DA0CD0" w14:textId="77777777"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semplificazione; </w:t>
      </w:r>
    </w:p>
    <w:p w14:paraId="402A6BAB" w14:textId="77777777"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formazione; </w:t>
      </w:r>
    </w:p>
    <w:p w14:paraId="36714C60" w14:textId="77777777"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sensibilizzazione e partecipazione; </w:t>
      </w:r>
    </w:p>
    <w:p w14:paraId="338BBCC4" w14:textId="77777777"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rotazione; </w:t>
      </w:r>
    </w:p>
    <w:p w14:paraId="12D58665" w14:textId="77777777"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lastRenderedPageBreak/>
        <w:t xml:space="preserve">segnalazione e protezione; </w:t>
      </w:r>
    </w:p>
    <w:p w14:paraId="24918658" w14:textId="77777777"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disciplina del conflitto di interessi; </w:t>
      </w:r>
    </w:p>
    <w:p w14:paraId="7DDB938A" w14:textId="0E855A9B" w:rsidR="00A95749" w:rsidRPr="00F22F33" w:rsidRDefault="001D6F11" w:rsidP="001D6F11">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regolazione dei rapporti con i “rappresentanti di interessi particolari” (lobbies). </w:t>
      </w:r>
    </w:p>
    <w:p w14:paraId="11D62A61" w14:textId="17003DE1" w:rsidR="00617606" w:rsidRPr="00F22F33" w:rsidRDefault="00617606" w:rsidP="00617606">
      <w:pPr>
        <w:spacing w:before="120" w:after="0" w:line="240" w:lineRule="auto"/>
        <w:jc w:val="both"/>
        <w:rPr>
          <w:rFonts w:ascii="Arial" w:hAnsi="Arial" w:cs="Arial"/>
          <w:bCs/>
          <w:color w:val="FF0000"/>
          <w:sz w:val="24"/>
          <w:szCs w:val="24"/>
        </w:rPr>
      </w:pPr>
    </w:p>
    <w:p w14:paraId="60248CE0" w14:textId="77777777" w:rsidR="00291F3F" w:rsidRPr="00F22F33" w:rsidRDefault="00291F3F" w:rsidP="00617606">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Le misure sono state puntualmen</w:t>
      </w:r>
      <w:r w:rsidR="00A25F69" w:rsidRPr="00F22F33">
        <w:rPr>
          <w:rFonts w:ascii="Arial" w:hAnsi="Arial" w:cs="Arial"/>
          <w:bCs/>
          <w:color w:val="000000" w:themeColor="text1"/>
          <w:sz w:val="24"/>
          <w:szCs w:val="24"/>
        </w:rPr>
        <w:t>te indicate</w:t>
      </w:r>
      <w:r w:rsidRPr="00F22F33">
        <w:rPr>
          <w:rFonts w:ascii="Arial" w:hAnsi="Arial" w:cs="Arial"/>
          <w:bCs/>
          <w:color w:val="000000" w:themeColor="text1"/>
          <w:sz w:val="24"/>
          <w:szCs w:val="24"/>
        </w:rPr>
        <w:t xml:space="preserve"> e descritte nelle schede allegate denominate "</w:t>
      </w:r>
      <w:r w:rsidRPr="00F22F33">
        <w:rPr>
          <w:rFonts w:ascii="Arial" w:hAnsi="Arial" w:cs="Arial"/>
          <w:b/>
          <w:bCs/>
          <w:color w:val="000000" w:themeColor="text1"/>
          <w:sz w:val="24"/>
          <w:szCs w:val="24"/>
        </w:rPr>
        <w:t>Individuazione e programmazione delle misure</w:t>
      </w:r>
      <w:r w:rsidRPr="00F22F33">
        <w:rPr>
          <w:rFonts w:ascii="Arial" w:hAnsi="Arial" w:cs="Arial"/>
          <w:bCs/>
          <w:color w:val="000000" w:themeColor="text1"/>
          <w:sz w:val="24"/>
          <w:szCs w:val="24"/>
        </w:rPr>
        <w:t>" (</w:t>
      </w:r>
      <w:r w:rsidRPr="00F22F33">
        <w:rPr>
          <w:rFonts w:ascii="Arial" w:hAnsi="Arial" w:cs="Arial"/>
          <w:b/>
          <w:bCs/>
          <w:color w:val="000000" w:themeColor="text1"/>
          <w:sz w:val="24"/>
          <w:szCs w:val="24"/>
          <w:u w:val="single"/>
        </w:rPr>
        <w:t>Allegato C</w:t>
      </w:r>
      <w:r w:rsidRPr="00F22F33">
        <w:rPr>
          <w:rFonts w:ascii="Arial" w:hAnsi="Arial" w:cs="Arial"/>
          <w:bCs/>
          <w:color w:val="000000" w:themeColor="text1"/>
          <w:sz w:val="24"/>
          <w:szCs w:val="24"/>
        </w:rPr>
        <w:t xml:space="preserve">). </w:t>
      </w:r>
    </w:p>
    <w:p w14:paraId="753D4BB5" w14:textId="77777777" w:rsidR="00A25F69" w:rsidRPr="00F22F33" w:rsidRDefault="00A25F69" w:rsidP="00617606">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Le misure sono elencate e descritte nella </w:t>
      </w:r>
      <w:r w:rsidRPr="00F22F33">
        <w:rPr>
          <w:rFonts w:ascii="Arial" w:hAnsi="Arial" w:cs="Arial"/>
          <w:b/>
          <w:bCs/>
          <w:color w:val="000000" w:themeColor="text1"/>
          <w:sz w:val="24"/>
          <w:szCs w:val="24"/>
          <w:u w:val="single"/>
        </w:rPr>
        <w:t>colonna E</w:t>
      </w:r>
      <w:r w:rsidRPr="00F22F33">
        <w:rPr>
          <w:rFonts w:ascii="Arial" w:hAnsi="Arial" w:cs="Arial"/>
          <w:bCs/>
          <w:color w:val="000000" w:themeColor="text1"/>
          <w:sz w:val="24"/>
          <w:szCs w:val="24"/>
        </w:rPr>
        <w:t xml:space="preserve"> delle suddette schede.</w:t>
      </w:r>
    </w:p>
    <w:p w14:paraId="4B8E52E4" w14:textId="77777777" w:rsidR="000E02AA" w:rsidRPr="00F22F33" w:rsidRDefault="00291F3F" w:rsidP="00617606">
      <w:pPr>
        <w:spacing w:before="120" w:after="0" w:line="240" w:lineRule="auto"/>
        <w:jc w:val="both"/>
        <w:rPr>
          <w:rFonts w:ascii="Arial" w:hAnsi="Arial" w:cs="Arial"/>
          <w:b/>
          <w:color w:val="000000" w:themeColor="text1"/>
          <w:sz w:val="24"/>
          <w:szCs w:val="24"/>
        </w:rPr>
      </w:pPr>
      <w:r w:rsidRPr="00F22F33">
        <w:rPr>
          <w:rFonts w:ascii="Arial" w:hAnsi="Arial" w:cs="Arial"/>
          <w:b/>
          <w:color w:val="000000" w:themeColor="text1"/>
          <w:sz w:val="24"/>
          <w:szCs w:val="24"/>
        </w:rPr>
        <w:t xml:space="preserve">Per ciascun oggetto analisi è stata individuata e programmata almeno una misura di contrasto o prevenzione, secondo il criterio suggerito dal PNA del "miglior rapporto costo/efficacia". </w:t>
      </w:r>
    </w:p>
    <w:p w14:paraId="2E0EE3A6" w14:textId="77777777" w:rsidR="000E02AA" w:rsidRPr="00F22F33" w:rsidRDefault="000E02AA" w:rsidP="00617606">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Le principali misure, inoltre, sono state ripartite per singola “area di rischio” (</w:t>
      </w:r>
      <w:r w:rsidRPr="00F22F33">
        <w:rPr>
          <w:rFonts w:ascii="Arial" w:hAnsi="Arial" w:cs="Arial"/>
          <w:b/>
          <w:color w:val="000000" w:themeColor="text1"/>
          <w:sz w:val="24"/>
          <w:szCs w:val="24"/>
          <w:u w:val="single"/>
        </w:rPr>
        <w:t>Allegato C1</w:t>
      </w:r>
      <w:r w:rsidRPr="00F22F33">
        <w:rPr>
          <w:rFonts w:ascii="Arial" w:hAnsi="Arial" w:cs="Arial"/>
          <w:bCs/>
          <w:color w:val="000000" w:themeColor="text1"/>
          <w:sz w:val="24"/>
          <w:szCs w:val="24"/>
        </w:rPr>
        <w:t xml:space="preserve">).  </w:t>
      </w:r>
    </w:p>
    <w:p w14:paraId="0C402396" w14:textId="6E542B06" w:rsidR="000E02AA" w:rsidRPr="00F22F33" w:rsidRDefault="000E02AA" w:rsidP="00617606">
      <w:pPr>
        <w:spacing w:before="120" w:after="0" w:line="240" w:lineRule="auto"/>
        <w:jc w:val="both"/>
        <w:rPr>
          <w:rFonts w:ascii="Arial" w:hAnsi="Arial" w:cs="Arial"/>
          <w:bCs/>
          <w:color w:val="FF0000"/>
          <w:sz w:val="24"/>
          <w:szCs w:val="24"/>
        </w:rPr>
      </w:pPr>
    </w:p>
    <w:p w14:paraId="651A377E" w14:textId="5E5AD3F7" w:rsidR="00BD56A5" w:rsidRPr="00F22F33" w:rsidRDefault="00BD56A5" w:rsidP="00BD56A5">
      <w:pPr>
        <w:pStyle w:val="TitoloB"/>
        <w:keepNext/>
        <w:widowControl w:val="0"/>
        <w:numPr>
          <w:ilvl w:val="0"/>
          <w:numId w:val="8"/>
        </w:numPr>
        <w:spacing w:after="360" w:line="280" w:lineRule="exact"/>
        <w:ind w:right="0"/>
        <w:jc w:val="both"/>
        <w:outlineLvl w:val="1"/>
        <w:rPr>
          <w:color w:val="000000" w:themeColor="text1"/>
          <w:sz w:val="24"/>
          <w:szCs w:val="24"/>
        </w:rPr>
      </w:pPr>
      <w:bookmarkStart w:id="99" w:name="_Toc131582822"/>
      <w:bookmarkStart w:id="100" w:name="_Toc131582931"/>
      <w:bookmarkStart w:id="101" w:name="_Toc131583550"/>
      <w:bookmarkStart w:id="102" w:name="_Toc25585734"/>
      <w:r w:rsidRPr="00F22F33">
        <w:rPr>
          <w:color w:val="000000" w:themeColor="text1"/>
          <w:sz w:val="24"/>
          <w:szCs w:val="24"/>
        </w:rPr>
        <w:t>Le misure</w:t>
      </w:r>
      <w:bookmarkEnd w:id="99"/>
      <w:bookmarkEnd w:id="100"/>
      <w:bookmarkEnd w:id="101"/>
    </w:p>
    <w:p w14:paraId="445595B7" w14:textId="582E617F" w:rsidR="001D6F11" w:rsidRPr="00F22F33" w:rsidRDefault="00BD428B" w:rsidP="00BD428B">
      <w:pPr>
        <w:pStyle w:val="TitoloB"/>
        <w:keepNext/>
        <w:widowControl w:val="0"/>
        <w:spacing w:after="360" w:line="280" w:lineRule="exact"/>
        <w:ind w:right="0"/>
        <w:jc w:val="both"/>
        <w:outlineLvl w:val="1"/>
        <w:rPr>
          <w:color w:val="000000" w:themeColor="text1"/>
          <w:sz w:val="24"/>
          <w:szCs w:val="24"/>
        </w:rPr>
      </w:pPr>
      <w:bookmarkStart w:id="103" w:name="_Toc131582823"/>
      <w:bookmarkStart w:id="104" w:name="_Toc131582932"/>
      <w:bookmarkStart w:id="105" w:name="_Toc131583551"/>
      <w:r w:rsidRPr="00F22F33">
        <w:rPr>
          <w:color w:val="000000" w:themeColor="text1"/>
          <w:sz w:val="24"/>
          <w:szCs w:val="24"/>
        </w:rPr>
        <w:t>5.1 Codice di comportamento</w:t>
      </w:r>
      <w:bookmarkEnd w:id="102"/>
      <w:bookmarkEnd w:id="103"/>
      <w:bookmarkEnd w:id="104"/>
      <w:bookmarkEnd w:id="105"/>
    </w:p>
    <w:p w14:paraId="5FB60716" w14:textId="77777777" w:rsidR="00BD428B" w:rsidRPr="00F22F33" w:rsidRDefault="00BD428B" w:rsidP="00BD428B">
      <w:pPr>
        <w:pStyle w:val="Corpotesto"/>
        <w:spacing w:before="120"/>
        <w:jc w:val="both"/>
        <w:rPr>
          <w:bCs/>
          <w:sz w:val="24"/>
        </w:rPr>
      </w:pPr>
      <w:r w:rsidRPr="00F22F33">
        <w:rPr>
          <w:sz w:val="24"/>
        </w:rPr>
        <w:t xml:space="preserve">In attuazione dell'art. 54 del d.lgs. 165/2001 e </w:t>
      </w:r>
      <w:proofErr w:type="spellStart"/>
      <w:r w:rsidRPr="00F22F33">
        <w:rPr>
          <w:sz w:val="24"/>
        </w:rPr>
        <w:t>smi</w:t>
      </w:r>
      <w:proofErr w:type="spellEnd"/>
      <w:r w:rsidRPr="00F22F33">
        <w:rPr>
          <w:sz w:val="24"/>
        </w:rPr>
        <w:t>, il 16 aprile 2013 è stato emanato il DPR 62/2013, il Regolamento recante il codice di comportamento dei dipendenti pubblici, q</w:t>
      </w:r>
      <w:r w:rsidRPr="00F22F33">
        <w:rPr>
          <w:bCs/>
          <w:sz w:val="24"/>
        </w:rPr>
        <w:t xml:space="preserve">uesto ente dispone del proprio Codice di comportamento approvato in data 12.02.2015 con delibera di Giunta comunale n. 22. </w:t>
      </w:r>
    </w:p>
    <w:p w14:paraId="653AB09B" w14:textId="77777777" w:rsidR="00BD428B" w:rsidRPr="00F22F33" w:rsidRDefault="00BD428B" w:rsidP="00BD428B">
      <w:pPr>
        <w:pStyle w:val="Corpotesto"/>
        <w:spacing w:before="120"/>
        <w:jc w:val="both"/>
        <w:rPr>
          <w:sz w:val="24"/>
        </w:rPr>
      </w:pPr>
      <w:r w:rsidRPr="00F22F33">
        <w:rPr>
          <w:color w:val="FF0000"/>
          <w:sz w:val="24"/>
        </w:rPr>
        <w:t xml:space="preserve"> </w:t>
      </w:r>
      <w:r w:rsidRPr="00F22F33">
        <w:rPr>
          <w:color w:val="0F243E" w:themeColor="text2" w:themeShade="80"/>
          <w:sz w:val="24"/>
        </w:rPr>
        <w:t xml:space="preserve">Riguardo ai meccanismi di denuncia delle violazioni del codice trova </w:t>
      </w:r>
      <w:r w:rsidRPr="00F22F33">
        <w:rPr>
          <w:sz w:val="24"/>
        </w:rPr>
        <w:t xml:space="preserve">piena applicazione l'art. 55-bis comma 3 del d.lgs. 165/2001 e </w:t>
      </w:r>
      <w:proofErr w:type="spellStart"/>
      <w:r w:rsidRPr="00F22F33">
        <w:rPr>
          <w:sz w:val="24"/>
        </w:rPr>
        <w:t>smi</w:t>
      </w:r>
      <w:proofErr w:type="spellEnd"/>
      <w:r w:rsidRPr="00F22F33">
        <w:rPr>
          <w:sz w:val="24"/>
        </w:rPr>
        <w:t xml:space="preserve"> in materia di segnalazione all’ufficio competente per i procedimenti disciplinari.</w:t>
      </w:r>
    </w:p>
    <w:p w14:paraId="17962472" w14:textId="77777777" w:rsidR="00BD428B" w:rsidRPr="00F22F33" w:rsidRDefault="00BD428B" w:rsidP="00BD428B">
      <w:pPr>
        <w:pStyle w:val="TitoloB"/>
        <w:spacing w:before="120" w:after="0" w:line="240" w:lineRule="auto"/>
        <w:rPr>
          <w:b w:val="0"/>
          <w:bCs w:val="0"/>
          <w:sz w:val="24"/>
          <w:szCs w:val="24"/>
        </w:rPr>
      </w:pPr>
    </w:p>
    <w:p w14:paraId="6F1022A6" w14:textId="19CC42F1" w:rsidR="00BD428B" w:rsidRPr="00F22F33" w:rsidRDefault="002838EE" w:rsidP="00BD428B">
      <w:pPr>
        <w:pStyle w:val="TitoloB"/>
        <w:keepNext/>
        <w:widowControl w:val="0"/>
        <w:spacing w:after="360" w:line="280" w:lineRule="exact"/>
        <w:ind w:right="0"/>
        <w:jc w:val="both"/>
        <w:outlineLvl w:val="1"/>
        <w:rPr>
          <w:color w:val="000000" w:themeColor="text1"/>
          <w:sz w:val="24"/>
          <w:szCs w:val="24"/>
        </w:rPr>
      </w:pPr>
      <w:bookmarkStart w:id="106" w:name="_Toc131582824"/>
      <w:bookmarkStart w:id="107" w:name="_Toc131582933"/>
      <w:bookmarkStart w:id="108" w:name="_Toc131583552"/>
      <w:r w:rsidRPr="00F22F33">
        <w:rPr>
          <w:color w:val="000000" w:themeColor="text1"/>
          <w:sz w:val="24"/>
          <w:szCs w:val="24"/>
        </w:rPr>
        <w:t>5.2 Conflitto di interessi</w:t>
      </w:r>
      <w:bookmarkEnd w:id="106"/>
      <w:bookmarkEnd w:id="107"/>
      <w:bookmarkEnd w:id="108"/>
    </w:p>
    <w:p w14:paraId="79C04DA6" w14:textId="77777777" w:rsidR="002838EE" w:rsidRPr="00F22F33" w:rsidRDefault="002838EE" w:rsidP="002838EE">
      <w:p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L’art. 6-bis della legge 241/1990 (aggiunto dalla legge 190/2012, art. 1, comma 41) prevede che i responsabili del procedimento, nonché i titolari degli uffici competenti ad esprimere pareri, svolgere valutazioni tecniche e atti </w:t>
      </w:r>
      <w:proofErr w:type="spellStart"/>
      <w:r w:rsidRPr="00F22F33">
        <w:rPr>
          <w:rFonts w:ascii="Arial" w:hAnsi="Arial" w:cs="Arial"/>
          <w:sz w:val="24"/>
          <w:szCs w:val="24"/>
          <w:shd w:val="clear" w:color="auto" w:fill="FFFFFF"/>
        </w:rPr>
        <w:t>endoprocedimentali</w:t>
      </w:r>
      <w:proofErr w:type="spellEnd"/>
      <w:r w:rsidRPr="00F22F33">
        <w:rPr>
          <w:rFonts w:ascii="Arial" w:hAnsi="Arial" w:cs="Arial"/>
          <w:sz w:val="24"/>
          <w:szCs w:val="24"/>
          <w:shd w:val="clear" w:color="auto" w:fill="FFFFFF"/>
        </w:rPr>
        <w:t xml:space="preserve"> e ad assumere i provvedimenti conclusivi, debbano astenersi in caso di “conflitto di interessi”, segnalando ogni situazione, anche solo potenziale, di conflitto.</w:t>
      </w:r>
    </w:p>
    <w:p w14:paraId="616FCDAB" w14:textId="77777777" w:rsidR="002838EE" w:rsidRPr="00F22F33" w:rsidRDefault="002838EE" w:rsidP="002838EE">
      <w:p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Il DPR 62/2013, il Codice di comportamento dei dipendenti pubblici, norma il conflitto di interessi agli artt. 6, 7 e 14. Il dipendente pubblico ha il dovere di astenersi in ogni caso in cui esistano “gravi ragioni di convenienza”. Sull'obbligo di astensione decide il responsabile dell'ufficio di appartenenza. L’art. 7 stabilisce che il dipendente si debba astenere sia dall’assumere decisioni, che dallo svolgere attività che possano coinvolgere interessi: </w:t>
      </w:r>
    </w:p>
    <w:p w14:paraId="1931F669" w14:textId="77777777" w:rsidR="002838EE" w:rsidRPr="00F22F33" w:rsidRDefault="002838EE" w:rsidP="002838EE">
      <w:pPr>
        <w:pStyle w:val="Paragrafoelenco"/>
        <w:numPr>
          <w:ilvl w:val="0"/>
          <w:numId w:val="32"/>
        </w:num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lastRenderedPageBreak/>
        <w:t xml:space="preserve">dello stesso dipendente;  </w:t>
      </w:r>
    </w:p>
    <w:p w14:paraId="2CC6D317" w14:textId="77777777" w:rsidR="002838EE" w:rsidRPr="00F22F33" w:rsidRDefault="002838EE" w:rsidP="002838EE">
      <w:pPr>
        <w:pStyle w:val="Paragrafoelenco"/>
        <w:numPr>
          <w:ilvl w:val="0"/>
          <w:numId w:val="32"/>
        </w:num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di suoi parenti o affini entro il secondo grado, del coniuge o di conviventi; </w:t>
      </w:r>
    </w:p>
    <w:p w14:paraId="629CF4FE" w14:textId="77777777" w:rsidR="002838EE" w:rsidRPr="00F22F33" w:rsidRDefault="002838EE" w:rsidP="002838EE">
      <w:pPr>
        <w:pStyle w:val="Paragrafoelenco"/>
        <w:numPr>
          <w:ilvl w:val="0"/>
          <w:numId w:val="32"/>
        </w:num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di persone con le quali il dipendente abbia “rapporti di frequentazione abituale”; </w:t>
      </w:r>
    </w:p>
    <w:p w14:paraId="3A6F93BC" w14:textId="77777777" w:rsidR="002838EE" w:rsidRPr="00F22F33" w:rsidRDefault="002838EE" w:rsidP="002838EE">
      <w:pPr>
        <w:pStyle w:val="Paragrafoelenco"/>
        <w:numPr>
          <w:ilvl w:val="0"/>
          <w:numId w:val="32"/>
        </w:num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di soggetti od organizzazioni con cui il dipendente, ovvero il suo coniuge, abbia una causa pendente, ovvero rapporti di “grave inimicizia” o di credito o debito significativi; </w:t>
      </w:r>
    </w:p>
    <w:p w14:paraId="65835681" w14:textId="77777777" w:rsidR="002838EE" w:rsidRPr="00F22F33" w:rsidRDefault="002838EE" w:rsidP="002838EE">
      <w:pPr>
        <w:pStyle w:val="Paragrafoelenco"/>
        <w:numPr>
          <w:ilvl w:val="0"/>
          <w:numId w:val="32"/>
        </w:num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di soggetti od organizzazioni di cui sia tutore, curatore, procuratore o agente; </w:t>
      </w:r>
    </w:p>
    <w:p w14:paraId="7A9A9071" w14:textId="77777777" w:rsidR="002838EE" w:rsidRPr="00F22F33" w:rsidRDefault="002838EE" w:rsidP="002838EE">
      <w:pPr>
        <w:pStyle w:val="Paragrafoelenco"/>
        <w:numPr>
          <w:ilvl w:val="0"/>
          <w:numId w:val="32"/>
        </w:num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di enti, associazioni anche non riconosciute, comitati, società o stabilimenti di cui sia amministratore o gerente o dirigente. </w:t>
      </w:r>
    </w:p>
    <w:p w14:paraId="16A42960" w14:textId="77777777" w:rsidR="002838EE" w:rsidRPr="00F22F33" w:rsidRDefault="002838EE" w:rsidP="002838EE">
      <w:pPr>
        <w:spacing w:before="120" w:after="0" w:line="240" w:lineRule="auto"/>
        <w:jc w:val="both"/>
        <w:rPr>
          <w:rFonts w:ascii="Arial" w:hAnsi="Arial" w:cs="Arial"/>
          <w:bCs/>
          <w:sz w:val="24"/>
          <w:szCs w:val="24"/>
          <w:shd w:val="clear" w:color="auto" w:fill="FFFFFF"/>
        </w:rPr>
      </w:pPr>
      <w:r w:rsidRPr="00F22F33">
        <w:rPr>
          <w:rFonts w:ascii="Arial" w:hAnsi="Arial" w:cs="Arial"/>
          <w:bCs/>
          <w:sz w:val="24"/>
          <w:szCs w:val="24"/>
          <w:shd w:val="clear" w:color="auto" w:fill="FFFFFF"/>
        </w:rPr>
        <w:t>Ogni qual volta si configurino le descritte situazioni di conflitto di interessi, il dipendente è tenuto a darne tempestivamente comunicazione al responsabile dell’ufficio di appartenenza, il quale valuterà, nel caso concreto, l’eventuale sussistenza del contrasto tra l’interesse privato ed il bene pubblico.</w:t>
      </w:r>
    </w:p>
    <w:p w14:paraId="32D41820" w14:textId="77777777" w:rsidR="002838EE" w:rsidRPr="00F22F33" w:rsidRDefault="002838EE" w:rsidP="002838EE">
      <w:pPr>
        <w:spacing w:before="120" w:after="0" w:line="240" w:lineRule="auto"/>
        <w:jc w:val="both"/>
        <w:rPr>
          <w:rFonts w:ascii="Arial" w:hAnsi="Arial" w:cs="Arial"/>
          <w:bCs/>
          <w:sz w:val="24"/>
          <w:szCs w:val="24"/>
          <w:shd w:val="clear" w:color="auto" w:fill="FFFFFF"/>
        </w:rPr>
      </w:pPr>
      <w:r w:rsidRPr="00F22F33">
        <w:rPr>
          <w:rFonts w:ascii="Arial" w:hAnsi="Arial" w:cs="Arial"/>
          <w:bCs/>
          <w:sz w:val="24"/>
          <w:szCs w:val="24"/>
          <w:shd w:val="clear" w:color="auto" w:fill="FFFFFF"/>
        </w:rPr>
        <w:t xml:space="preserve">All’atto dell’assegnazione all’ufficio, il dipendente pubblico ha il dovere di dichiarare l’insussistenza di situazioni di conflitto di interessi. </w:t>
      </w:r>
    </w:p>
    <w:p w14:paraId="0DAE4BB6" w14:textId="77777777" w:rsidR="002838EE" w:rsidRPr="00F22F33" w:rsidRDefault="002838EE" w:rsidP="002838EE">
      <w:pPr>
        <w:spacing w:before="120" w:after="0" w:line="240" w:lineRule="auto"/>
        <w:jc w:val="both"/>
        <w:rPr>
          <w:rFonts w:ascii="Arial" w:hAnsi="Arial" w:cs="Arial"/>
          <w:sz w:val="24"/>
          <w:szCs w:val="24"/>
          <w:shd w:val="clear" w:color="auto" w:fill="FFFFFF"/>
        </w:rPr>
      </w:pPr>
      <w:r w:rsidRPr="00F22F33">
        <w:rPr>
          <w:rFonts w:ascii="Arial" w:hAnsi="Arial" w:cs="Arial"/>
          <w:bCs/>
          <w:sz w:val="24"/>
          <w:szCs w:val="24"/>
          <w:shd w:val="clear" w:color="auto" w:fill="FFFFFF"/>
        </w:rPr>
        <w:t>Deve informare per iscritto il dirigente di tutti i rapporti, diretti o indiretti, di collaborazione con soggetti privati, in qualunque modo retribuiti, che lo stesso abbia in essere o abbia avuto negli ultimi tre anni</w:t>
      </w:r>
      <w:r w:rsidRPr="00F22F33">
        <w:rPr>
          <w:rFonts w:ascii="Arial" w:hAnsi="Arial" w:cs="Arial"/>
          <w:sz w:val="24"/>
          <w:szCs w:val="24"/>
          <w:shd w:val="clear" w:color="auto" w:fill="FFFFFF"/>
        </w:rPr>
        <w:t xml:space="preserve">. </w:t>
      </w:r>
    </w:p>
    <w:p w14:paraId="729B2E8D" w14:textId="77777777" w:rsidR="002838EE" w:rsidRPr="00F22F33" w:rsidRDefault="002838EE" w:rsidP="002838EE">
      <w:pPr>
        <w:spacing w:before="120" w:after="0" w:line="240" w:lineRule="auto"/>
        <w:jc w:val="both"/>
        <w:rPr>
          <w:rFonts w:ascii="Arial" w:hAnsi="Arial" w:cs="Arial"/>
          <w:sz w:val="24"/>
          <w:szCs w:val="24"/>
        </w:rPr>
      </w:pPr>
      <w:r w:rsidRPr="00F22F33">
        <w:rPr>
          <w:rFonts w:ascii="Arial" w:hAnsi="Arial" w:cs="Arial"/>
          <w:sz w:val="24"/>
          <w:szCs w:val="24"/>
          <w:shd w:val="clear" w:color="auto" w:fill="FFFFFF"/>
        </w:rPr>
        <w:t xml:space="preserve">La suddetta comunicazione deve precisare: </w:t>
      </w:r>
    </w:p>
    <w:p w14:paraId="4655C238" w14:textId="77777777" w:rsidR="002838EE" w:rsidRPr="00F22F33" w:rsidRDefault="002838EE" w:rsidP="002838EE">
      <w:pPr>
        <w:pStyle w:val="Paragrafoelenco"/>
        <w:numPr>
          <w:ilvl w:val="0"/>
          <w:numId w:val="31"/>
        </w:num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se il dipendente personalmente, o suoi parenti, o affini entro il secondo grado, il suo coniuge o il convivente abbiano ancora rapporti finanziari con il soggetto con cui ha avuto i </w:t>
      </w:r>
      <w:proofErr w:type="gramStart"/>
      <w:r w:rsidRPr="00F22F33">
        <w:rPr>
          <w:rFonts w:ascii="Arial" w:hAnsi="Arial" w:cs="Arial"/>
          <w:sz w:val="24"/>
          <w:szCs w:val="24"/>
          <w:shd w:val="clear" w:color="auto" w:fill="FFFFFF"/>
        </w:rPr>
        <w:t>predetti</w:t>
      </w:r>
      <w:proofErr w:type="gramEnd"/>
      <w:r w:rsidRPr="00F22F33">
        <w:rPr>
          <w:rFonts w:ascii="Arial" w:hAnsi="Arial" w:cs="Arial"/>
          <w:sz w:val="24"/>
          <w:szCs w:val="24"/>
          <w:shd w:val="clear" w:color="auto" w:fill="FFFFFF"/>
        </w:rPr>
        <w:t xml:space="preserve"> rapporti di collaborazione;</w:t>
      </w:r>
    </w:p>
    <w:p w14:paraId="6308C6DE" w14:textId="77777777" w:rsidR="002838EE" w:rsidRPr="00F22F33" w:rsidRDefault="002838EE" w:rsidP="002838EE">
      <w:pPr>
        <w:pStyle w:val="Paragrafoelenco"/>
        <w:numPr>
          <w:ilvl w:val="0"/>
          <w:numId w:val="31"/>
        </w:num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e se tali rapporti siano intercorsi, o intercorrano tuttora, con soggetti che abbiano interessi in attività o decisioni inerenti all'ufficio, limitatamente alle pratiche a lui affidate.</w:t>
      </w:r>
    </w:p>
    <w:p w14:paraId="62C21B65" w14:textId="77777777" w:rsidR="002838EE" w:rsidRPr="00F22F33" w:rsidRDefault="002838EE" w:rsidP="002838EE">
      <w:p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Il dipendente, inoltre, </w:t>
      </w:r>
      <w:r w:rsidRPr="00F22F33">
        <w:rPr>
          <w:rFonts w:ascii="Arial" w:hAnsi="Arial" w:cs="Arial"/>
          <w:bCs/>
          <w:sz w:val="24"/>
          <w:szCs w:val="24"/>
          <w:shd w:val="clear" w:color="auto" w:fill="FFFFFF"/>
        </w:rPr>
        <w:t>ha l’obbligo di tenere aggiornata l’amministrazione sulla sopravvenienza di eventuali situazioni di conflitto di interessi</w:t>
      </w:r>
      <w:r w:rsidRPr="00F22F33">
        <w:rPr>
          <w:rFonts w:ascii="Arial" w:hAnsi="Arial" w:cs="Arial"/>
          <w:sz w:val="24"/>
          <w:szCs w:val="24"/>
          <w:shd w:val="clear" w:color="auto" w:fill="FFFFFF"/>
        </w:rPr>
        <w:t>.</w:t>
      </w:r>
    </w:p>
    <w:p w14:paraId="4BA1EF59" w14:textId="77777777" w:rsidR="002838EE" w:rsidRPr="00F22F33" w:rsidRDefault="002838EE" w:rsidP="002838EE">
      <w:p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Qualora il dipendente si trovi in una situazione di conflitto di interessi, anche solo potenziale, deve segnalarlo tempestivamente al dirigente o al superiore gerarchico o, in assenza di quest’ultimo, all’organo di indirizzo. </w:t>
      </w:r>
    </w:p>
    <w:p w14:paraId="1E67F443" w14:textId="77777777" w:rsidR="002838EE" w:rsidRPr="00F22F33" w:rsidRDefault="002838EE" w:rsidP="002838EE">
      <w:p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Questi, esaminate le circostanze, valuteranno se la situazione rilevata realizzi un conflitto di interessi che leda l’imparzialità dell’agire amministrativo. In caso affermativo, ne daranno comunicazione al dipendente. </w:t>
      </w:r>
    </w:p>
    <w:p w14:paraId="15127A65" w14:textId="77777777" w:rsidR="002838EE" w:rsidRPr="00F22F33" w:rsidRDefault="002838EE" w:rsidP="002838EE">
      <w:pPr>
        <w:spacing w:before="120" w:after="0" w:line="240" w:lineRule="auto"/>
        <w:jc w:val="both"/>
        <w:rPr>
          <w:rFonts w:ascii="Arial" w:hAnsi="Arial" w:cs="Arial"/>
          <w:sz w:val="24"/>
          <w:szCs w:val="24"/>
          <w:shd w:val="clear" w:color="auto" w:fill="FFFFFF"/>
        </w:rPr>
      </w:pPr>
      <w:r w:rsidRPr="00F22F33">
        <w:rPr>
          <w:rFonts w:ascii="Arial" w:hAnsi="Arial" w:cs="Arial"/>
          <w:sz w:val="24"/>
          <w:szCs w:val="24"/>
          <w:shd w:val="clear" w:color="auto" w:fill="FFFFFF"/>
        </w:rPr>
        <w:t xml:space="preserve">La violazione degli obblighi di comunicazione ed astensione integra comportamenti contrari ai doveri d’ufficio e, pertanto, è fonte di responsabilità disciplinare, fatte salve eventuali ulteriori responsabilità civili, penali, contabili o amministrative. Pertanto, le attività di prevenzione, </w:t>
      </w:r>
      <w:r w:rsidRPr="00F22F33">
        <w:rPr>
          <w:rFonts w:ascii="Arial" w:hAnsi="Arial" w:cs="Arial"/>
          <w:sz w:val="24"/>
          <w:szCs w:val="24"/>
          <w:shd w:val="clear" w:color="auto" w:fill="FFFFFF"/>
        </w:rPr>
        <w:lastRenderedPageBreak/>
        <w:t xml:space="preserve">verifica e applicazione delle sanzioni sono a carico della singola amministrazione. </w:t>
      </w:r>
    </w:p>
    <w:p w14:paraId="00EE362F" w14:textId="77777777" w:rsidR="002838EE" w:rsidRPr="00F22F33" w:rsidRDefault="002838EE" w:rsidP="002838EE">
      <w:pPr>
        <w:pStyle w:val="Corpotesto"/>
        <w:spacing w:before="120"/>
        <w:jc w:val="both"/>
        <w:rPr>
          <w:bCs/>
          <w:color w:val="FF0000"/>
          <w:sz w:val="24"/>
        </w:rPr>
      </w:pPr>
    </w:p>
    <w:p w14:paraId="2C28782F" w14:textId="292B2E75" w:rsidR="002838EE" w:rsidRPr="00F22F33" w:rsidRDefault="002838EE" w:rsidP="002838EE">
      <w:pPr>
        <w:pStyle w:val="Corpotesto"/>
        <w:spacing w:before="120"/>
        <w:jc w:val="both"/>
        <w:rPr>
          <w:b/>
          <w:color w:val="000000" w:themeColor="text1"/>
          <w:sz w:val="24"/>
        </w:rPr>
      </w:pPr>
      <w:r w:rsidRPr="00F22F33">
        <w:rPr>
          <w:b/>
          <w:color w:val="000000" w:themeColor="text1"/>
          <w:sz w:val="24"/>
        </w:rPr>
        <w:t xml:space="preserve">5.3 </w:t>
      </w:r>
      <w:proofErr w:type="spellStart"/>
      <w:r w:rsidRPr="00F22F33">
        <w:rPr>
          <w:b/>
          <w:color w:val="000000" w:themeColor="text1"/>
          <w:sz w:val="24"/>
        </w:rPr>
        <w:t>Incoferibilità</w:t>
      </w:r>
      <w:proofErr w:type="spellEnd"/>
      <w:r w:rsidRPr="00F22F33">
        <w:rPr>
          <w:b/>
          <w:color w:val="000000" w:themeColor="text1"/>
          <w:sz w:val="24"/>
        </w:rPr>
        <w:t xml:space="preserve"> e incompatibilità degli incarichi dirigenziali.</w:t>
      </w:r>
    </w:p>
    <w:p w14:paraId="1E47CA90" w14:textId="34DD62EA" w:rsidR="002838EE" w:rsidRPr="00F22F33" w:rsidRDefault="002838EE" w:rsidP="002838EE">
      <w:pPr>
        <w:pStyle w:val="Corpotesto"/>
        <w:spacing w:before="120"/>
        <w:jc w:val="both"/>
        <w:rPr>
          <w:bCs/>
          <w:color w:val="000000" w:themeColor="text1"/>
          <w:sz w:val="24"/>
        </w:rPr>
      </w:pPr>
      <w:r w:rsidRPr="00F22F33">
        <w:rPr>
          <w:bCs/>
          <w:color w:val="000000" w:themeColor="text1"/>
          <w:sz w:val="24"/>
        </w:rPr>
        <w:t xml:space="preserve">L’ente applica con puntualità la già esaustiva e dettagliata disciplina recata dagli articoli 50 comma 10, 107 e 109 del TUEL e dagli articoli 13 – 27 del d.lgs. 165/2001 e </w:t>
      </w:r>
      <w:proofErr w:type="spellStart"/>
      <w:r w:rsidRPr="00F22F33">
        <w:rPr>
          <w:bCs/>
          <w:color w:val="000000" w:themeColor="text1"/>
          <w:sz w:val="24"/>
        </w:rPr>
        <w:t>smi</w:t>
      </w:r>
      <w:proofErr w:type="spellEnd"/>
      <w:r w:rsidRPr="00F22F33">
        <w:rPr>
          <w:bCs/>
          <w:color w:val="000000" w:themeColor="text1"/>
          <w:sz w:val="24"/>
        </w:rPr>
        <w:t xml:space="preserve">.  </w:t>
      </w:r>
    </w:p>
    <w:p w14:paraId="55CE8D58" w14:textId="77777777" w:rsidR="00323945" w:rsidRPr="00F22F33" w:rsidRDefault="00323945" w:rsidP="00323945">
      <w:pPr>
        <w:pStyle w:val="Corpotesto"/>
        <w:spacing w:before="120"/>
        <w:jc w:val="both"/>
        <w:rPr>
          <w:bCs/>
          <w:color w:val="000000" w:themeColor="text1"/>
          <w:sz w:val="24"/>
        </w:rPr>
      </w:pPr>
      <w:r w:rsidRPr="00F22F33">
        <w:rPr>
          <w:bCs/>
          <w:color w:val="000000" w:themeColor="text1"/>
          <w:sz w:val="24"/>
        </w:rPr>
        <w:t xml:space="preserve">I dipendenti sono </w:t>
      </w:r>
      <w:proofErr w:type="gramStart"/>
      <w:r w:rsidRPr="00F22F33">
        <w:rPr>
          <w:bCs/>
          <w:color w:val="000000" w:themeColor="text1"/>
          <w:sz w:val="24"/>
        </w:rPr>
        <w:t>a  conoscenza</w:t>
      </w:r>
      <w:proofErr w:type="gramEnd"/>
      <w:r w:rsidRPr="00F22F33">
        <w:rPr>
          <w:bCs/>
          <w:color w:val="000000" w:themeColor="text1"/>
          <w:sz w:val="24"/>
        </w:rPr>
        <w:t xml:space="preserve">  dell'obbligo di astensione, delle conseguenze scaturenti dalla sua violazione e dei comportamenti da seguire in caso di conflitto di interesse.</w:t>
      </w:r>
    </w:p>
    <w:p w14:paraId="7D505C5A" w14:textId="0EF3F258" w:rsidR="002838EE" w:rsidRPr="00F22F33" w:rsidRDefault="002838EE" w:rsidP="002838EE">
      <w:pPr>
        <w:pStyle w:val="Corpotesto"/>
        <w:spacing w:before="120"/>
        <w:jc w:val="both"/>
        <w:rPr>
          <w:bCs/>
          <w:color w:val="000000" w:themeColor="text1"/>
          <w:sz w:val="24"/>
        </w:rPr>
      </w:pPr>
    </w:p>
    <w:p w14:paraId="4416E857" w14:textId="7688D482" w:rsidR="002838EE" w:rsidRPr="00F22F33" w:rsidRDefault="002838EE" w:rsidP="002838EE">
      <w:pPr>
        <w:pStyle w:val="TitoloB"/>
        <w:keepNext/>
        <w:widowControl w:val="0"/>
        <w:numPr>
          <w:ilvl w:val="1"/>
          <w:numId w:val="36"/>
        </w:numPr>
        <w:spacing w:before="120" w:after="0" w:line="240" w:lineRule="auto"/>
        <w:ind w:right="0"/>
        <w:jc w:val="both"/>
        <w:outlineLvl w:val="1"/>
        <w:rPr>
          <w:sz w:val="24"/>
          <w:szCs w:val="24"/>
        </w:rPr>
      </w:pPr>
      <w:bookmarkStart w:id="109" w:name="_Toc97543247"/>
      <w:bookmarkStart w:id="110" w:name="_Toc131582825"/>
      <w:bookmarkStart w:id="111" w:name="_Toc131582934"/>
      <w:bookmarkStart w:id="112" w:name="_Toc131583553"/>
      <w:bookmarkStart w:id="113" w:name="_Toc87523823"/>
      <w:r w:rsidRPr="00F22F33">
        <w:rPr>
          <w:sz w:val="24"/>
          <w:szCs w:val="24"/>
        </w:rPr>
        <w:t>Regole per la formazione delle commissioni e per l’assegnazione degli uffici</w:t>
      </w:r>
      <w:bookmarkEnd w:id="109"/>
      <w:bookmarkEnd w:id="110"/>
      <w:bookmarkEnd w:id="111"/>
      <w:bookmarkEnd w:id="112"/>
      <w:r w:rsidRPr="00F22F33">
        <w:rPr>
          <w:sz w:val="24"/>
          <w:szCs w:val="24"/>
        </w:rPr>
        <w:t xml:space="preserve"> </w:t>
      </w:r>
      <w:bookmarkEnd w:id="113"/>
      <w:r w:rsidRPr="00F22F33">
        <w:rPr>
          <w:sz w:val="24"/>
          <w:szCs w:val="24"/>
        </w:rPr>
        <w:t xml:space="preserve">  </w:t>
      </w:r>
    </w:p>
    <w:p w14:paraId="3DDC2C0B" w14:textId="77777777" w:rsidR="002838EE" w:rsidRPr="00F22F33" w:rsidRDefault="002838EE" w:rsidP="002838EE">
      <w:pPr>
        <w:pStyle w:val="Corpotesto"/>
        <w:spacing w:before="120"/>
        <w:jc w:val="both"/>
        <w:rPr>
          <w:bCs/>
          <w:sz w:val="24"/>
        </w:rPr>
      </w:pPr>
      <w:r w:rsidRPr="00F22F33">
        <w:rPr>
          <w:bCs/>
          <w:sz w:val="24"/>
        </w:rPr>
        <w:t>Secondo l’art. 35-</w:t>
      </w:r>
      <w:r w:rsidRPr="00F22F33">
        <w:rPr>
          <w:bCs/>
          <w:i/>
          <w:iCs/>
          <w:sz w:val="24"/>
        </w:rPr>
        <w:t>bis,</w:t>
      </w:r>
      <w:r w:rsidRPr="00F22F33">
        <w:rPr>
          <w:bCs/>
          <w:sz w:val="24"/>
        </w:rPr>
        <w:t xml:space="preserve"> del d.lgs. 165/2001 e </w:t>
      </w:r>
      <w:proofErr w:type="spellStart"/>
      <w:r w:rsidRPr="00F22F33">
        <w:rPr>
          <w:bCs/>
          <w:sz w:val="24"/>
        </w:rPr>
        <w:t>smi</w:t>
      </w:r>
      <w:proofErr w:type="spellEnd"/>
      <w:r w:rsidRPr="00F22F33">
        <w:rPr>
          <w:bCs/>
          <w:sz w:val="24"/>
        </w:rPr>
        <w:t>, c</w:t>
      </w:r>
      <w:r w:rsidRPr="00F22F33">
        <w:rPr>
          <w:bCs/>
          <w:iCs/>
          <w:sz w:val="24"/>
        </w:rPr>
        <w:t>oloro che siano stati condannati, anche con sentenza non passata in giudicato, per i reati previsti nel Capo I del Titolo II del libro secondo del Codice penale:</w:t>
      </w:r>
    </w:p>
    <w:p w14:paraId="4292850D" w14:textId="77777777" w:rsidR="002838EE" w:rsidRPr="00F22F33" w:rsidRDefault="002838EE" w:rsidP="002838EE">
      <w:pPr>
        <w:pStyle w:val="Corpotesto"/>
        <w:numPr>
          <w:ilvl w:val="0"/>
          <w:numId w:val="34"/>
        </w:numPr>
        <w:spacing w:before="120"/>
        <w:jc w:val="both"/>
        <w:rPr>
          <w:bCs/>
          <w:iCs/>
          <w:sz w:val="24"/>
        </w:rPr>
      </w:pPr>
      <w:r w:rsidRPr="00F22F33">
        <w:rPr>
          <w:bCs/>
          <w:iCs/>
          <w:sz w:val="24"/>
        </w:rPr>
        <w:t>non possano fare parte, anche con compiti di segreteria, di commissioni per l'accesso o la selezione a pubblici impieghi;</w:t>
      </w:r>
    </w:p>
    <w:p w14:paraId="0A072283" w14:textId="77777777" w:rsidR="002838EE" w:rsidRPr="00F22F33" w:rsidRDefault="002838EE" w:rsidP="002838EE">
      <w:pPr>
        <w:pStyle w:val="Corpotesto"/>
        <w:numPr>
          <w:ilvl w:val="0"/>
          <w:numId w:val="34"/>
        </w:numPr>
        <w:spacing w:before="120"/>
        <w:jc w:val="both"/>
        <w:rPr>
          <w:bCs/>
          <w:iCs/>
          <w:sz w:val="24"/>
        </w:rPr>
      </w:pPr>
      <w:r w:rsidRPr="00F22F33">
        <w:rPr>
          <w:bCs/>
          <w:iCs/>
          <w:sz w:val="24"/>
        </w:rPr>
        <w:t xml:space="preserve">non possano essere assegnati, anche con funzioni direttive, agli uffici preposti alla gestione delle risorse finanziarie, all'acquisizione di beni, servizi e forniture, </w:t>
      </w:r>
    </w:p>
    <w:p w14:paraId="4EC3A673" w14:textId="77777777" w:rsidR="002838EE" w:rsidRPr="00F22F33" w:rsidRDefault="002838EE" w:rsidP="002838EE">
      <w:pPr>
        <w:pStyle w:val="Corpotesto"/>
        <w:numPr>
          <w:ilvl w:val="0"/>
          <w:numId w:val="34"/>
        </w:numPr>
        <w:spacing w:before="120"/>
        <w:jc w:val="both"/>
        <w:rPr>
          <w:bCs/>
          <w:iCs/>
          <w:sz w:val="24"/>
        </w:rPr>
      </w:pPr>
      <w:r w:rsidRPr="00F22F33">
        <w:rPr>
          <w:bCs/>
          <w:iCs/>
          <w:sz w:val="24"/>
        </w:rPr>
        <w:t>non possano essere assegnati, anche con funzioni direttive, agli uffici preposti alla concessione o all'erogazione di sovvenzioni, contributi, sussidi, ausili finanziari o attribuzioni di vantaggi economici a soggetti pubblici e privati;</w:t>
      </w:r>
    </w:p>
    <w:p w14:paraId="42D55FB8" w14:textId="77777777" w:rsidR="002838EE" w:rsidRPr="00F22F33" w:rsidRDefault="002838EE" w:rsidP="002838EE">
      <w:pPr>
        <w:pStyle w:val="Corpotesto"/>
        <w:numPr>
          <w:ilvl w:val="0"/>
          <w:numId w:val="34"/>
        </w:numPr>
        <w:spacing w:before="120"/>
        <w:jc w:val="both"/>
        <w:rPr>
          <w:bCs/>
          <w:iCs/>
          <w:sz w:val="24"/>
        </w:rPr>
      </w:pPr>
      <w:r w:rsidRPr="00F22F33">
        <w:rPr>
          <w:bCs/>
          <w:iCs/>
          <w:sz w:val="24"/>
        </w:rPr>
        <w:t>non possano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3FA4C102" w14:textId="7445AFD4" w:rsidR="002838EE" w:rsidRPr="00F22F33" w:rsidRDefault="002838EE" w:rsidP="002838EE">
      <w:pPr>
        <w:pStyle w:val="Corpotesto"/>
        <w:spacing w:before="120"/>
        <w:jc w:val="both"/>
        <w:rPr>
          <w:bCs/>
          <w:color w:val="000000" w:themeColor="text1"/>
          <w:sz w:val="24"/>
        </w:rPr>
      </w:pPr>
    </w:p>
    <w:p w14:paraId="69C5D906" w14:textId="77777777" w:rsidR="002838EE" w:rsidRPr="00F22F33" w:rsidRDefault="002838EE" w:rsidP="002838EE">
      <w:pPr>
        <w:spacing w:before="120" w:after="0" w:line="240" w:lineRule="auto"/>
        <w:jc w:val="both"/>
        <w:rPr>
          <w:rFonts w:ascii="Arial" w:hAnsi="Arial" w:cs="Arial"/>
          <w:bCs/>
          <w:color w:val="000000" w:themeColor="text1"/>
          <w:sz w:val="24"/>
          <w:szCs w:val="24"/>
        </w:rPr>
      </w:pPr>
    </w:p>
    <w:p w14:paraId="6623B503" w14:textId="1DA07FAB" w:rsidR="002838EE" w:rsidRPr="00F22F33" w:rsidRDefault="002838EE" w:rsidP="00F84F8A">
      <w:pPr>
        <w:pStyle w:val="TitoloB"/>
        <w:keepNext/>
        <w:widowControl w:val="0"/>
        <w:numPr>
          <w:ilvl w:val="1"/>
          <w:numId w:val="36"/>
        </w:numPr>
        <w:spacing w:before="120" w:after="0" w:line="240" w:lineRule="auto"/>
        <w:ind w:right="0"/>
        <w:jc w:val="both"/>
        <w:outlineLvl w:val="1"/>
        <w:rPr>
          <w:sz w:val="24"/>
          <w:szCs w:val="24"/>
        </w:rPr>
      </w:pPr>
      <w:bookmarkStart w:id="114" w:name="_Toc87523822"/>
      <w:bookmarkStart w:id="115" w:name="_Toc97543249"/>
      <w:bookmarkStart w:id="116" w:name="_Toc131582826"/>
      <w:bookmarkStart w:id="117" w:name="_Toc131582935"/>
      <w:bookmarkStart w:id="118" w:name="_Toc131583554"/>
      <w:r w:rsidRPr="00F22F33">
        <w:rPr>
          <w:sz w:val="24"/>
          <w:szCs w:val="24"/>
        </w:rPr>
        <w:t>Divieto di svolgere attività incompatibili a seguito della cessazione del rapporto di lavoro (</w:t>
      </w:r>
      <w:proofErr w:type="spellStart"/>
      <w:r w:rsidRPr="00F22F33">
        <w:rPr>
          <w:sz w:val="24"/>
          <w:szCs w:val="24"/>
        </w:rPr>
        <w:t>pantouflage</w:t>
      </w:r>
      <w:proofErr w:type="spellEnd"/>
      <w:r w:rsidRPr="00F22F33">
        <w:rPr>
          <w:sz w:val="24"/>
          <w:szCs w:val="24"/>
        </w:rPr>
        <w:t>)</w:t>
      </w:r>
      <w:bookmarkEnd w:id="114"/>
      <w:bookmarkEnd w:id="115"/>
      <w:bookmarkEnd w:id="116"/>
      <w:bookmarkEnd w:id="117"/>
      <w:bookmarkEnd w:id="118"/>
    </w:p>
    <w:p w14:paraId="02E41B45" w14:textId="77777777" w:rsidR="002838EE" w:rsidRPr="00F22F33" w:rsidRDefault="002838EE" w:rsidP="002838EE">
      <w:pPr>
        <w:pStyle w:val="Corpotesto"/>
        <w:spacing w:before="120"/>
        <w:jc w:val="both"/>
        <w:rPr>
          <w:bCs/>
          <w:sz w:val="24"/>
        </w:rPr>
      </w:pPr>
      <w:r w:rsidRPr="00F22F33">
        <w:rPr>
          <w:bCs/>
          <w:sz w:val="24"/>
        </w:rPr>
        <w:t xml:space="preserve">L'art. 53, comma 16-ter, del d.lgs. 165/2001 e </w:t>
      </w:r>
      <w:proofErr w:type="spellStart"/>
      <w:r w:rsidRPr="00F22F33">
        <w:rPr>
          <w:bCs/>
          <w:sz w:val="24"/>
        </w:rPr>
        <w:t>smi</w:t>
      </w:r>
      <w:proofErr w:type="spellEnd"/>
      <w:r w:rsidRPr="00F22F33">
        <w:rPr>
          <w:bCs/>
          <w:sz w:val="24"/>
        </w:rPr>
        <w:t xml:space="preserve"> vieta ai dipendenti che, negli ultimi tre anni di servizio, abbiano esercitato poteri autoritativi o negoziali per conto delle pubbliche amministrazioni, di svolgere, nei tre anni successivi alla cessazione del rapporto di pubblico impiego, attività lavorativa o professionale presso i privati destinatari dell'attività della pubblica amministrazione svolta attraverso i medesimi poteri. </w:t>
      </w:r>
    </w:p>
    <w:p w14:paraId="03F6DE1E" w14:textId="77777777" w:rsidR="002838EE" w:rsidRPr="00F22F33" w:rsidRDefault="002838EE" w:rsidP="002838EE">
      <w:pPr>
        <w:pStyle w:val="Corpotesto"/>
        <w:spacing w:before="120"/>
        <w:jc w:val="both"/>
        <w:rPr>
          <w:bCs/>
          <w:sz w:val="24"/>
        </w:rPr>
      </w:pPr>
      <w:r w:rsidRPr="00F22F33">
        <w:rPr>
          <w:bCs/>
          <w:sz w:val="24"/>
        </w:rPr>
        <w:t xml:space="preserve">Eventuali contratti conclusi e gli incarichi conferiti in violazione del divieto sono nulli. </w:t>
      </w:r>
    </w:p>
    <w:p w14:paraId="30B3D348" w14:textId="77777777" w:rsidR="002838EE" w:rsidRPr="00F22F33" w:rsidRDefault="002838EE" w:rsidP="002838EE">
      <w:pPr>
        <w:pStyle w:val="Corpotesto"/>
        <w:spacing w:before="120"/>
        <w:jc w:val="both"/>
        <w:rPr>
          <w:bCs/>
          <w:sz w:val="24"/>
        </w:rPr>
      </w:pPr>
      <w:r w:rsidRPr="00F22F33">
        <w:rPr>
          <w:bCs/>
          <w:sz w:val="24"/>
        </w:rPr>
        <w:lastRenderedPageBreak/>
        <w:t>È fatto divieto ai soggetti privati che li hanno conclusi o conferiti di contrattare con le pubbliche amministrazioni per i successivi tre anni, con obbligo di restituzione dei compensi eventualmente percepiti e accertati ad essi riferiti.</w:t>
      </w:r>
    </w:p>
    <w:p w14:paraId="2B11F82B" w14:textId="77777777" w:rsidR="00323945" w:rsidRPr="00F22F33" w:rsidRDefault="00323945" w:rsidP="00323945">
      <w:pPr>
        <w:pStyle w:val="Corpotesto"/>
        <w:spacing w:before="120"/>
        <w:jc w:val="both"/>
        <w:rPr>
          <w:b/>
          <w:bCs/>
          <w:color w:val="000000" w:themeColor="text1"/>
          <w:sz w:val="24"/>
        </w:rPr>
      </w:pPr>
      <w:r w:rsidRPr="00F22F33">
        <w:rPr>
          <w:b/>
          <w:bCs/>
          <w:color w:val="000000" w:themeColor="text1"/>
          <w:sz w:val="24"/>
        </w:rPr>
        <w:t xml:space="preserve">MISURA: </w:t>
      </w:r>
    </w:p>
    <w:p w14:paraId="6B6A6375" w14:textId="77777777" w:rsidR="00323945" w:rsidRPr="00F22F33" w:rsidRDefault="00323945" w:rsidP="00323945">
      <w:pPr>
        <w:pStyle w:val="Corpotesto"/>
        <w:spacing w:before="120"/>
        <w:jc w:val="both"/>
        <w:rPr>
          <w:bCs/>
          <w:color w:val="000000" w:themeColor="text1"/>
          <w:sz w:val="24"/>
        </w:rPr>
      </w:pPr>
      <w:r w:rsidRPr="00F22F33">
        <w:rPr>
          <w:bCs/>
          <w:color w:val="000000" w:themeColor="text1"/>
          <w:sz w:val="24"/>
        </w:rPr>
        <w:t>Pertanto, ogni contraente e appaltatore dell’ente, all’atto della stipulazione del contratto deve rendere una dichiarazione, ai sensi del DPR 445/2000, circa l’inesistenza di contratti di lavoro o rapporti di collaborazione vietati a norma del comma 16-</w:t>
      </w:r>
      <w:r w:rsidRPr="00F22F33">
        <w:rPr>
          <w:bCs/>
          <w:i/>
          <w:color w:val="000000" w:themeColor="text1"/>
          <w:sz w:val="24"/>
        </w:rPr>
        <w:t>ter</w:t>
      </w:r>
      <w:r w:rsidRPr="00F22F33">
        <w:rPr>
          <w:bCs/>
          <w:color w:val="000000" w:themeColor="text1"/>
          <w:sz w:val="24"/>
        </w:rPr>
        <w:t xml:space="preserve"> del d.lgs. 165/2001 e </w:t>
      </w:r>
      <w:proofErr w:type="spellStart"/>
      <w:r w:rsidRPr="00F22F33">
        <w:rPr>
          <w:bCs/>
          <w:color w:val="000000" w:themeColor="text1"/>
          <w:sz w:val="24"/>
        </w:rPr>
        <w:t>smi</w:t>
      </w:r>
      <w:proofErr w:type="spellEnd"/>
      <w:r w:rsidRPr="00F22F33">
        <w:rPr>
          <w:bCs/>
          <w:color w:val="000000" w:themeColor="text1"/>
          <w:sz w:val="24"/>
        </w:rPr>
        <w:t xml:space="preserve">. </w:t>
      </w:r>
    </w:p>
    <w:p w14:paraId="6B767789" w14:textId="77777777" w:rsidR="00323945" w:rsidRPr="00F22F33" w:rsidRDefault="00323945" w:rsidP="00323945">
      <w:pPr>
        <w:pStyle w:val="Corpotesto"/>
        <w:spacing w:before="120"/>
        <w:jc w:val="both"/>
        <w:rPr>
          <w:bCs/>
          <w:color w:val="000000" w:themeColor="text1"/>
          <w:sz w:val="24"/>
        </w:rPr>
      </w:pPr>
      <w:r w:rsidRPr="00F22F33">
        <w:rPr>
          <w:bCs/>
          <w:color w:val="000000" w:themeColor="text1"/>
          <w:sz w:val="24"/>
        </w:rPr>
        <w:t xml:space="preserve">L’ente verifica la veridicità di tutte le suddette dichiarazioni. </w:t>
      </w:r>
    </w:p>
    <w:p w14:paraId="0C225AAA" w14:textId="77777777" w:rsidR="00F84F8A" w:rsidRPr="00F22F33" w:rsidRDefault="00F84F8A" w:rsidP="00F84F8A">
      <w:pPr>
        <w:pStyle w:val="TitoloB"/>
        <w:keepNext/>
        <w:widowControl w:val="0"/>
        <w:spacing w:before="120" w:after="0" w:line="240" w:lineRule="auto"/>
        <w:ind w:right="0"/>
        <w:jc w:val="both"/>
        <w:outlineLvl w:val="1"/>
        <w:rPr>
          <w:color w:val="000000" w:themeColor="text1"/>
          <w:sz w:val="24"/>
          <w:szCs w:val="24"/>
        </w:rPr>
      </w:pPr>
    </w:p>
    <w:p w14:paraId="1CFCD9B1" w14:textId="38C21B07" w:rsidR="00F84F8A" w:rsidRPr="00F22F33" w:rsidRDefault="00F84F8A" w:rsidP="00F84F8A">
      <w:pPr>
        <w:pStyle w:val="TitoloB"/>
        <w:keepNext/>
        <w:widowControl w:val="0"/>
        <w:numPr>
          <w:ilvl w:val="1"/>
          <w:numId w:val="36"/>
        </w:numPr>
        <w:spacing w:before="120" w:after="0" w:line="240" w:lineRule="auto"/>
        <w:ind w:right="0"/>
        <w:jc w:val="both"/>
        <w:outlineLvl w:val="1"/>
        <w:rPr>
          <w:sz w:val="24"/>
          <w:szCs w:val="24"/>
        </w:rPr>
      </w:pPr>
      <w:bookmarkStart w:id="119" w:name="_Toc97543250"/>
      <w:bookmarkStart w:id="120" w:name="_Toc131582827"/>
      <w:bookmarkStart w:id="121" w:name="_Toc131582936"/>
      <w:bookmarkStart w:id="122" w:name="_Toc131583555"/>
      <w:r w:rsidRPr="00F22F33">
        <w:rPr>
          <w:sz w:val="24"/>
          <w:szCs w:val="24"/>
        </w:rPr>
        <w:t>La formazione in tema di anticorruzione</w:t>
      </w:r>
      <w:bookmarkEnd w:id="119"/>
      <w:bookmarkEnd w:id="120"/>
      <w:bookmarkEnd w:id="121"/>
      <w:bookmarkEnd w:id="122"/>
    </w:p>
    <w:p w14:paraId="2B381C0A" w14:textId="77777777" w:rsidR="00F84F8A" w:rsidRPr="00F22F33" w:rsidRDefault="00F84F8A" w:rsidP="00F84F8A">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Il comma 8, art. 1, della legge 190/2012, stabilisce che il RPCT definisca procedure appropriate per selezionare e formare i dipendenti destinati ad operare in settori particolarmente esposti alla corruzione. </w:t>
      </w:r>
    </w:p>
    <w:p w14:paraId="22988314" w14:textId="77777777" w:rsidR="00F84F8A" w:rsidRPr="00F22F33" w:rsidRDefault="00F84F8A" w:rsidP="00F84F8A">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La formazione può essere strutturata su due livelli:</w:t>
      </w:r>
    </w:p>
    <w:p w14:paraId="4FE948C4" w14:textId="77777777" w:rsidR="00F84F8A" w:rsidRPr="00F22F33" w:rsidRDefault="00F84F8A" w:rsidP="00F84F8A">
      <w:pPr>
        <w:spacing w:before="120" w:after="0" w:line="240" w:lineRule="auto"/>
        <w:jc w:val="both"/>
        <w:rPr>
          <w:rFonts w:ascii="Arial" w:hAnsi="Arial" w:cs="Arial"/>
          <w:bCs/>
          <w:color w:val="000000" w:themeColor="text1"/>
          <w:sz w:val="24"/>
          <w:szCs w:val="24"/>
        </w:rPr>
      </w:pPr>
      <w:r w:rsidRPr="00F22F33">
        <w:rPr>
          <w:rFonts w:ascii="Arial" w:hAnsi="Arial" w:cs="Arial"/>
          <w:b/>
          <w:color w:val="000000" w:themeColor="text1"/>
          <w:sz w:val="24"/>
          <w:szCs w:val="24"/>
        </w:rPr>
        <w:t>livello generale</w:t>
      </w:r>
      <w:r w:rsidRPr="00F22F33">
        <w:rPr>
          <w:rFonts w:ascii="Arial" w:hAnsi="Arial" w:cs="Arial"/>
          <w:bCs/>
          <w:color w:val="000000" w:themeColor="text1"/>
          <w:sz w:val="24"/>
          <w:szCs w:val="24"/>
        </w:rPr>
        <w:t>: rivolto a tutti i dipendenti e mirato all’aggiornamento delle competenze/comportamenti in materia di etica e della legalità;</w:t>
      </w:r>
    </w:p>
    <w:p w14:paraId="43997160" w14:textId="77777777" w:rsidR="00F84F8A" w:rsidRPr="00F22F33" w:rsidRDefault="00F84F8A" w:rsidP="00F84F8A">
      <w:pPr>
        <w:spacing w:before="120" w:after="0" w:line="240" w:lineRule="auto"/>
        <w:jc w:val="both"/>
        <w:rPr>
          <w:rFonts w:ascii="Arial" w:hAnsi="Arial" w:cs="Arial"/>
          <w:bCs/>
          <w:color w:val="000000" w:themeColor="text1"/>
          <w:sz w:val="24"/>
          <w:szCs w:val="24"/>
        </w:rPr>
      </w:pPr>
      <w:r w:rsidRPr="00F22F33">
        <w:rPr>
          <w:rFonts w:ascii="Arial" w:hAnsi="Arial" w:cs="Arial"/>
          <w:b/>
          <w:color w:val="000000" w:themeColor="text1"/>
          <w:sz w:val="24"/>
          <w:szCs w:val="24"/>
        </w:rPr>
        <w:t>livello specifico</w:t>
      </w:r>
      <w:r w:rsidRPr="00F22F33">
        <w:rPr>
          <w:rFonts w:ascii="Arial" w:hAnsi="Arial" w:cs="Arial"/>
          <w:bCs/>
          <w:color w:val="000000" w:themeColor="text1"/>
          <w:sz w:val="24"/>
          <w:szCs w:val="24"/>
        </w:rPr>
        <w:t xml:space="preserve">: dedicato al RPCT, ai referenti, ai componenti degli organismi di controllo, ai dirigenti e funzionari addetti alle aree a maggior rischio corruttivo, mirato a valorizzare le politiche, i programmi e gli strumenti utilizzati per la prevenzione e ad approfondire tematiche settoriali, in relazione al ruolo svolto da ciascun soggetto nell’amministrazione.  </w:t>
      </w:r>
    </w:p>
    <w:p w14:paraId="1450DE0B" w14:textId="77777777" w:rsidR="00E136C8" w:rsidRPr="00F22F33" w:rsidRDefault="00E136C8" w:rsidP="00E136C8">
      <w:pPr>
        <w:pStyle w:val="Corpotesto"/>
        <w:spacing w:before="120"/>
        <w:jc w:val="both"/>
        <w:rPr>
          <w:color w:val="000000" w:themeColor="text1"/>
          <w:sz w:val="24"/>
        </w:rPr>
      </w:pPr>
      <w:bookmarkStart w:id="123" w:name="_Toc87523819"/>
      <w:bookmarkStart w:id="124" w:name="_Toc97543251"/>
      <w:r w:rsidRPr="00F22F33">
        <w:rPr>
          <w:color w:val="000000" w:themeColor="text1"/>
          <w:sz w:val="24"/>
        </w:rPr>
        <w:t xml:space="preserve">Si demanda al Responsabile per la prevenzione della corruzione il compito di individuare, di concerto con i responsabili di settore, i collaboratori cui somministrare formazione in materia di prevenzione della corruzione e trasparenza.  </w:t>
      </w:r>
    </w:p>
    <w:p w14:paraId="7D631486" w14:textId="77777777" w:rsidR="00E136C8" w:rsidRPr="00F22F33" w:rsidRDefault="00E136C8" w:rsidP="00E136C8">
      <w:pPr>
        <w:pStyle w:val="TitoloB"/>
        <w:spacing w:before="120" w:after="0" w:line="240" w:lineRule="auto"/>
        <w:rPr>
          <w:color w:val="0F243E" w:themeColor="text2" w:themeShade="80"/>
          <w:sz w:val="24"/>
          <w:szCs w:val="24"/>
        </w:rPr>
      </w:pPr>
    </w:p>
    <w:p w14:paraId="49C460A8" w14:textId="364AD231" w:rsidR="00F84F8A" w:rsidRPr="00F22F33" w:rsidRDefault="00F84F8A" w:rsidP="00F84F8A">
      <w:pPr>
        <w:pStyle w:val="TitoloB"/>
        <w:keepNext/>
        <w:widowControl w:val="0"/>
        <w:numPr>
          <w:ilvl w:val="1"/>
          <w:numId w:val="36"/>
        </w:numPr>
        <w:spacing w:before="120" w:after="0" w:line="240" w:lineRule="auto"/>
        <w:ind w:right="0"/>
        <w:jc w:val="both"/>
        <w:outlineLvl w:val="1"/>
        <w:rPr>
          <w:sz w:val="24"/>
          <w:szCs w:val="24"/>
        </w:rPr>
      </w:pPr>
      <w:bookmarkStart w:id="125" w:name="_Toc131582828"/>
      <w:bookmarkStart w:id="126" w:name="_Toc131582937"/>
      <w:bookmarkStart w:id="127" w:name="_Toc131583556"/>
      <w:r w:rsidRPr="00F22F33">
        <w:rPr>
          <w:sz w:val="24"/>
          <w:szCs w:val="24"/>
        </w:rPr>
        <w:t>La rotazione del personale</w:t>
      </w:r>
      <w:bookmarkEnd w:id="123"/>
      <w:bookmarkEnd w:id="124"/>
      <w:bookmarkEnd w:id="125"/>
      <w:bookmarkEnd w:id="126"/>
      <w:bookmarkEnd w:id="127"/>
      <w:r w:rsidRPr="00F22F33">
        <w:rPr>
          <w:sz w:val="24"/>
          <w:szCs w:val="24"/>
        </w:rPr>
        <w:t xml:space="preserve">  </w:t>
      </w:r>
    </w:p>
    <w:p w14:paraId="116111A1" w14:textId="77777777" w:rsidR="00F84F8A" w:rsidRPr="00F22F33" w:rsidRDefault="00F84F8A" w:rsidP="00F84F8A">
      <w:pPr>
        <w:pStyle w:val="Corpotesto"/>
        <w:spacing w:before="120"/>
        <w:jc w:val="both"/>
        <w:rPr>
          <w:bCs/>
          <w:color w:val="000000" w:themeColor="text1"/>
          <w:sz w:val="24"/>
        </w:rPr>
      </w:pPr>
      <w:r w:rsidRPr="00F22F33">
        <w:rPr>
          <w:bCs/>
          <w:color w:val="000000" w:themeColor="text1"/>
          <w:sz w:val="24"/>
        </w:rPr>
        <w:t xml:space="preserve">La dotazione organica dell’ente è assai limitata e non consente, di fatto, l’applicazione concreta del criterio della rotazione. </w:t>
      </w:r>
    </w:p>
    <w:p w14:paraId="53EDF7D2" w14:textId="77777777" w:rsidR="00F84F8A" w:rsidRPr="00F22F33" w:rsidRDefault="00F84F8A" w:rsidP="00F84F8A">
      <w:pPr>
        <w:pStyle w:val="Corpotesto"/>
        <w:spacing w:before="120"/>
        <w:jc w:val="both"/>
        <w:rPr>
          <w:bCs/>
          <w:color w:val="000000" w:themeColor="text1"/>
          <w:sz w:val="24"/>
        </w:rPr>
      </w:pPr>
      <w:r w:rsidRPr="00F22F33">
        <w:rPr>
          <w:bCs/>
          <w:color w:val="000000" w:themeColor="text1"/>
          <w:sz w:val="24"/>
        </w:rPr>
        <w:t xml:space="preserve">Non esistono figure professionali perfettamente fungibili. </w:t>
      </w:r>
    </w:p>
    <w:p w14:paraId="6B49252E" w14:textId="202F2483" w:rsidR="00F84F8A" w:rsidRPr="00F22F33" w:rsidRDefault="00F84F8A" w:rsidP="00F84F8A">
      <w:pPr>
        <w:pStyle w:val="Corpotesto"/>
        <w:spacing w:before="120"/>
        <w:jc w:val="both"/>
        <w:rPr>
          <w:bCs/>
          <w:color w:val="000000" w:themeColor="text1"/>
          <w:sz w:val="24"/>
        </w:rPr>
      </w:pPr>
      <w:r w:rsidRPr="00F22F33">
        <w:rPr>
          <w:bCs/>
          <w:color w:val="000000" w:themeColor="text1"/>
          <w:sz w:val="24"/>
        </w:rPr>
        <w:t xml:space="preserve">In ogni caso l’amministrazione attiverà ogni iniziativa utile (gestioni associate, mobilità, comando, ecc.) per assicurare l’attuazione della misura. </w:t>
      </w:r>
    </w:p>
    <w:p w14:paraId="4B987D12" w14:textId="34030052" w:rsidR="00F84F8A" w:rsidRPr="00F22F33" w:rsidRDefault="00F84F8A" w:rsidP="00F84F8A">
      <w:pPr>
        <w:pStyle w:val="Corpotesto"/>
        <w:spacing w:before="120"/>
        <w:jc w:val="both"/>
        <w:rPr>
          <w:bCs/>
          <w:color w:val="000000" w:themeColor="text1"/>
          <w:sz w:val="24"/>
        </w:rPr>
      </w:pPr>
    </w:p>
    <w:p w14:paraId="18306BB5" w14:textId="26C9D88C" w:rsidR="00F84F8A" w:rsidRPr="00F22F33" w:rsidRDefault="00F84F8A" w:rsidP="00F84F8A">
      <w:pPr>
        <w:pStyle w:val="Style17"/>
        <w:widowControl/>
        <w:spacing w:before="120"/>
        <w:rPr>
          <w:rFonts w:ascii="Arial" w:hAnsi="Arial" w:cs="Arial"/>
          <w:b/>
          <w:iCs/>
        </w:rPr>
      </w:pPr>
      <w:r w:rsidRPr="00F22F33">
        <w:rPr>
          <w:rFonts w:ascii="Arial" w:hAnsi="Arial" w:cs="Arial"/>
          <w:b/>
          <w:iCs/>
        </w:rPr>
        <w:t>5.8 Misure per la tutela del dipendente che segnali illeciti (whistleblower)</w:t>
      </w:r>
    </w:p>
    <w:p w14:paraId="5EF4337D" w14:textId="66FD22E4" w:rsidR="00F84F8A" w:rsidRPr="00F22F33" w:rsidRDefault="00F84F8A" w:rsidP="00F84F8A">
      <w:pPr>
        <w:pStyle w:val="Style17"/>
        <w:widowControl/>
        <w:spacing w:before="120"/>
        <w:rPr>
          <w:rFonts w:ascii="Arial" w:hAnsi="Arial" w:cs="Arial"/>
          <w:bCs/>
          <w:iCs/>
        </w:rPr>
      </w:pPr>
      <w:r w:rsidRPr="00F22F33">
        <w:rPr>
          <w:rFonts w:ascii="Arial" w:hAnsi="Arial" w:cs="Arial"/>
          <w:bCs/>
          <w:iCs/>
        </w:rPr>
        <w:t xml:space="preserve">L’art. 54-bis, quindi, accorda al whistleblower le seguenti garanzie: </w:t>
      </w:r>
    </w:p>
    <w:p w14:paraId="59682577" w14:textId="77777777" w:rsidR="00F84F8A" w:rsidRPr="00F22F33" w:rsidRDefault="00F84F8A" w:rsidP="00F84F8A">
      <w:pPr>
        <w:pStyle w:val="Style17"/>
        <w:widowControl/>
        <w:spacing w:before="120"/>
        <w:rPr>
          <w:rFonts w:ascii="Arial" w:hAnsi="Arial" w:cs="Arial"/>
          <w:bCs/>
          <w:iCs/>
        </w:rPr>
      </w:pPr>
      <w:r w:rsidRPr="00F22F33">
        <w:rPr>
          <w:rFonts w:ascii="Arial" w:hAnsi="Arial" w:cs="Arial"/>
          <w:bCs/>
          <w:iCs/>
        </w:rPr>
        <w:t xml:space="preserve">la tutela dell'anonimato; </w:t>
      </w:r>
    </w:p>
    <w:p w14:paraId="0B722505" w14:textId="77777777" w:rsidR="00F84F8A" w:rsidRPr="00F22F33" w:rsidRDefault="00F84F8A" w:rsidP="00F84F8A">
      <w:pPr>
        <w:pStyle w:val="Style17"/>
        <w:widowControl/>
        <w:spacing w:before="120"/>
        <w:rPr>
          <w:rFonts w:ascii="Arial" w:hAnsi="Arial" w:cs="Arial"/>
          <w:bCs/>
          <w:i/>
        </w:rPr>
      </w:pPr>
      <w:r w:rsidRPr="00F22F33">
        <w:rPr>
          <w:rFonts w:ascii="Arial" w:hAnsi="Arial" w:cs="Arial"/>
          <w:bCs/>
          <w:iCs/>
        </w:rPr>
        <w:lastRenderedPageBreak/>
        <w:t>il divieto di discriminazione</w:t>
      </w:r>
      <w:r w:rsidRPr="00F22F33">
        <w:rPr>
          <w:rFonts w:ascii="Arial" w:hAnsi="Arial" w:cs="Arial"/>
          <w:bCs/>
          <w:i/>
        </w:rPr>
        <w:t xml:space="preserve">; </w:t>
      </w:r>
    </w:p>
    <w:p w14:paraId="3502DBAD" w14:textId="77777777" w:rsidR="00F84F8A" w:rsidRPr="00F22F33" w:rsidRDefault="00F84F8A" w:rsidP="00F84F8A">
      <w:pPr>
        <w:pStyle w:val="Style17"/>
        <w:widowControl/>
        <w:spacing w:before="120"/>
        <w:rPr>
          <w:rFonts w:ascii="Arial" w:hAnsi="Arial" w:cs="Arial"/>
          <w:bCs/>
          <w:iCs/>
        </w:rPr>
      </w:pPr>
      <w:r w:rsidRPr="00F22F33">
        <w:rPr>
          <w:rFonts w:ascii="Arial" w:hAnsi="Arial" w:cs="Arial"/>
          <w:bCs/>
          <w:iCs/>
        </w:rPr>
        <w:t xml:space="preserve">la previsione che la denuncia sia sottratta all’accesso. </w:t>
      </w:r>
    </w:p>
    <w:p w14:paraId="49B251CA" w14:textId="77777777" w:rsidR="00F84F8A" w:rsidRPr="00F22F33" w:rsidRDefault="00F84F8A" w:rsidP="00F84F8A">
      <w:pPr>
        <w:pStyle w:val="Style17"/>
        <w:widowControl/>
        <w:spacing w:before="120"/>
        <w:rPr>
          <w:rFonts w:ascii="Arial" w:hAnsi="Arial" w:cs="Arial"/>
          <w:bCs/>
          <w:iCs/>
        </w:rPr>
      </w:pPr>
      <w:r w:rsidRPr="00F22F33">
        <w:rPr>
          <w:rFonts w:ascii="Arial" w:hAnsi="Arial" w:cs="Arial"/>
          <w:bCs/>
          <w:iCs/>
        </w:rPr>
        <w:t>L'art. 54-</w:t>
      </w:r>
      <w:r w:rsidRPr="00F22F33">
        <w:rPr>
          <w:rFonts w:ascii="Arial" w:hAnsi="Arial" w:cs="Arial"/>
          <w:bCs/>
          <w:i/>
          <w:iCs/>
        </w:rPr>
        <w:t>bis</w:t>
      </w:r>
      <w:r w:rsidRPr="00F22F33">
        <w:rPr>
          <w:rFonts w:ascii="Arial" w:hAnsi="Arial" w:cs="Arial"/>
          <w:bCs/>
          <w:iCs/>
        </w:rPr>
        <w:t xml:space="preserve"> delinea una “protezione generale ed astratta” che deve essere completata con concrete misure di tutela del dipendente. Tutela che, in ogni caso, deve essere assicurata da tutti i soggetti che ricevono la segnalazione. </w:t>
      </w:r>
    </w:p>
    <w:p w14:paraId="58F89955" w14:textId="77777777" w:rsidR="00F84F8A" w:rsidRPr="00F22F33" w:rsidRDefault="00F84F8A" w:rsidP="00F84F8A">
      <w:pPr>
        <w:pStyle w:val="Corpotesto"/>
        <w:spacing w:before="120"/>
        <w:jc w:val="both"/>
        <w:rPr>
          <w:b/>
          <w:bCs/>
          <w:color w:val="000000" w:themeColor="text1"/>
          <w:sz w:val="24"/>
        </w:rPr>
      </w:pPr>
      <w:r w:rsidRPr="00F22F33">
        <w:rPr>
          <w:b/>
          <w:bCs/>
          <w:color w:val="000000" w:themeColor="text1"/>
          <w:sz w:val="24"/>
        </w:rPr>
        <w:t xml:space="preserve">MISURA: </w:t>
      </w:r>
    </w:p>
    <w:p w14:paraId="541F41BF" w14:textId="77777777" w:rsidR="00F84F8A" w:rsidRPr="00F22F33" w:rsidRDefault="00F84F8A" w:rsidP="00F84F8A">
      <w:pPr>
        <w:pStyle w:val="Corpotesto"/>
        <w:spacing w:before="120"/>
        <w:jc w:val="both"/>
        <w:rPr>
          <w:bCs/>
          <w:color w:val="000000" w:themeColor="text1"/>
          <w:sz w:val="24"/>
        </w:rPr>
      </w:pPr>
      <w:r w:rsidRPr="00F22F33">
        <w:rPr>
          <w:bCs/>
          <w:color w:val="000000" w:themeColor="text1"/>
          <w:sz w:val="24"/>
        </w:rPr>
        <w:t xml:space="preserve">Le modeste dimensioni della dotazione organica dell’ente sono tali da rendere sostanzialmente difficile, se non impossibile, la tutela dell’anonimato del </w:t>
      </w:r>
      <w:r w:rsidRPr="00F22F33">
        <w:rPr>
          <w:bCs/>
          <w:i/>
          <w:iCs/>
          <w:color w:val="000000" w:themeColor="text1"/>
          <w:sz w:val="24"/>
        </w:rPr>
        <w:t xml:space="preserve">whistleblower. </w:t>
      </w:r>
    </w:p>
    <w:p w14:paraId="4E2A1D7E" w14:textId="77777777" w:rsidR="00F84F8A" w:rsidRPr="00F22F33" w:rsidRDefault="00F84F8A" w:rsidP="00F84F8A">
      <w:pPr>
        <w:pStyle w:val="Corpotesto"/>
        <w:spacing w:before="120"/>
        <w:jc w:val="both"/>
        <w:rPr>
          <w:bCs/>
          <w:color w:val="000000" w:themeColor="text1"/>
          <w:sz w:val="24"/>
        </w:rPr>
      </w:pPr>
      <w:r w:rsidRPr="00F22F33">
        <w:rPr>
          <w:bCs/>
          <w:color w:val="000000" w:themeColor="text1"/>
          <w:sz w:val="24"/>
        </w:rPr>
        <w:t xml:space="preserve">In ogni caso, i soggetti destinatari delle segnalazioni sono tenuti al segreto ed al massimo riserbo. </w:t>
      </w:r>
    </w:p>
    <w:p w14:paraId="40BA5433" w14:textId="77777777" w:rsidR="00F84F8A" w:rsidRPr="00F22F33" w:rsidRDefault="00F84F8A" w:rsidP="00F84F8A">
      <w:pPr>
        <w:pStyle w:val="Corpotesto"/>
        <w:spacing w:before="120"/>
        <w:jc w:val="both"/>
        <w:rPr>
          <w:bCs/>
          <w:color w:val="000000" w:themeColor="text1"/>
          <w:sz w:val="24"/>
        </w:rPr>
      </w:pPr>
      <w:r w:rsidRPr="00F22F33">
        <w:rPr>
          <w:bCs/>
          <w:color w:val="000000" w:themeColor="text1"/>
          <w:sz w:val="24"/>
        </w:rPr>
        <w:t xml:space="preserve">Applicano con puntualità e precisione i paragrafi B.12.1, B.12.2 e B.12.3 dell’Allegato 1 del PNA 2013 in materia di anonimato del segnalante, divieto di discriminazione nei confronti del </w:t>
      </w:r>
      <w:r w:rsidRPr="00F22F33">
        <w:rPr>
          <w:bCs/>
          <w:iCs/>
          <w:color w:val="000000" w:themeColor="text1"/>
          <w:sz w:val="24"/>
        </w:rPr>
        <w:t>whistleblower e s</w:t>
      </w:r>
      <w:r w:rsidRPr="00F22F33">
        <w:rPr>
          <w:bCs/>
          <w:color w:val="000000" w:themeColor="text1"/>
          <w:sz w:val="24"/>
        </w:rPr>
        <w:t>ottrazione al diritto di accesso della segnalazione.</w:t>
      </w:r>
    </w:p>
    <w:p w14:paraId="72300907" w14:textId="77777777" w:rsidR="00F84F8A" w:rsidRPr="00F22F33" w:rsidRDefault="00F84F8A" w:rsidP="00F84F8A">
      <w:pPr>
        <w:pStyle w:val="Corpotesto"/>
        <w:spacing w:before="120"/>
        <w:jc w:val="both"/>
        <w:rPr>
          <w:bCs/>
          <w:color w:val="000000" w:themeColor="text1"/>
          <w:sz w:val="24"/>
        </w:rPr>
      </w:pPr>
    </w:p>
    <w:p w14:paraId="3645462F" w14:textId="1E937FD9" w:rsidR="005E0305" w:rsidRPr="00F22F33" w:rsidRDefault="005E0305" w:rsidP="005E0305">
      <w:pPr>
        <w:pStyle w:val="TitoloB"/>
        <w:keepNext/>
        <w:widowControl w:val="0"/>
        <w:numPr>
          <w:ilvl w:val="1"/>
          <w:numId w:val="37"/>
        </w:numPr>
        <w:spacing w:before="120" w:after="0" w:line="240" w:lineRule="auto"/>
        <w:ind w:right="0"/>
        <w:jc w:val="both"/>
        <w:outlineLvl w:val="1"/>
        <w:rPr>
          <w:sz w:val="24"/>
          <w:szCs w:val="24"/>
        </w:rPr>
      </w:pPr>
      <w:bookmarkStart w:id="128" w:name="_Toc87523827"/>
      <w:bookmarkStart w:id="129" w:name="_Toc97543257"/>
      <w:bookmarkStart w:id="130" w:name="_Toc131582829"/>
      <w:bookmarkStart w:id="131" w:name="_Toc131582938"/>
      <w:bookmarkStart w:id="132" w:name="_Toc131583557"/>
      <w:r w:rsidRPr="00F22F33">
        <w:rPr>
          <w:sz w:val="24"/>
          <w:szCs w:val="24"/>
        </w:rPr>
        <w:t>Erogazione di sovvenzioni, contributi, sussidi e vantaggi economici di qualunque genere</w:t>
      </w:r>
      <w:bookmarkEnd w:id="128"/>
      <w:bookmarkEnd w:id="129"/>
      <w:bookmarkEnd w:id="130"/>
      <w:bookmarkEnd w:id="131"/>
      <w:bookmarkEnd w:id="132"/>
    </w:p>
    <w:p w14:paraId="305A0522" w14:textId="77777777" w:rsidR="00E136C8" w:rsidRPr="00F22F33" w:rsidRDefault="00E136C8" w:rsidP="00E136C8">
      <w:pPr>
        <w:pStyle w:val="Corpotesto"/>
        <w:spacing w:before="120"/>
        <w:jc w:val="both"/>
        <w:rPr>
          <w:bCs/>
          <w:color w:val="000000" w:themeColor="text1"/>
          <w:sz w:val="24"/>
        </w:rPr>
      </w:pPr>
      <w:r w:rsidRPr="00F22F33">
        <w:rPr>
          <w:bCs/>
          <w:color w:val="000000" w:themeColor="text1"/>
          <w:sz w:val="24"/>
        </w:rPr>
        <w:t xml:space="preserve">Sovvenzioni, contributi, sussidi, ausili finanziari, nonché attribuzioni di vantaggi economici di qualunque genere, sono elargiti esclusivamente alle condizioni e secondo la disciplina del regolamento previsto dall'art. 12 della legge 241/1990. Detto regolamento è stato approvato dall’organo consiliare con deliberazione n. 11 del 24.04.1991 e </w:t>
      </w:r>
      <w:proofErr w:type="spellStart"/>
      <w:r w:rsidRPr="00F22F33">
        <w:rPr>
          <w:bCs/>
          <w:color w:val="000000" w:themeColor="text1"/>
          <w:sz w:val="24"/>
        </w:rPr>
        <w:t>s.m.i.</w:t>
      </w:r>
      <w:proofErr w:type="spellEnd"/>
      <w:r w:rsidRPr="00F22F33">
        <w:rPr>
          <w:bCs/>
          <w:color w:val="000000" w:themeColor="text1"/>
          <w:sz w:val="24"/>
        </w:rPr>
        <w:t xml:space="preserve"> </w:t>
      </w:r>
    </w:p>
    <w:p w14:paraId="0883AA18" w14:textId="77777777" w:rsidR="00E136C8" w:rsidRPr="00F22F33" w:rsidRDefault="00E136C8" w:rsidP="00E136C8">
      <w:pPr>
        <w:pStyle w:val="Corpotesto"/>
        <w:spacing w:before="120"/>
        <w:jc w:val="both"/>
        <w:rPr>
          <w:bCs/>
          <w:color w:val="000000" w:themeColor="text1"/>
          <w:sz w:val="24"/>
        </w:rPr>
      </w:pPr>
      <w:r w:rsidRPr="00F22F33">
        <w:rPr>
          <w:bCs/>
          <w:color w:val="000000" w:themeColor="text1"/>
          <w:sz w:val="24"/>
        </w:rPr>
        <w:t>Ogni provvedimento d’attribuzione/elargizione è prontamente pubblicato sul sito istituzionale dell’ente nella sezione “</w:t>
      </w:r>
      <w:r w:rsidRPr="00F22F33">
        <w:rPr>
          <w:bCs/>
          <w:i/>
          <w:color w:val="000000" w:themeColor="text1"/>
          <w:sz w:val="24"/>
        </w:rPr>
        <w:t>amministrazione trasparente</w:t>
      </w:r>
      <w:r w:rsidRPr="00F22F33">
        <w:rPr>
          <w:bCs/>
          <w:color w:val="000000" w:themeColor="text1"/>
          <w:sz w:val="24"/>
        </w:rPr>
        <w:t>”, oltre che all’albo online e nella sezione “</w:t>
      </w:r>
      <w:r w:rsidRPr="00F22F33">
        <w:rPr>
          <w:bCs/>
          <w:i/>
          <w:color w:val="000000" w:themeColor="text1"/>
          <w:sz w:val="24"/>
        </w:rPr>
        <w:t>determinazioni/deliberazioni</w:t>
      </w:r>
      <w:r w:rsidRPr="00F22F33">
        <w:rPr>
          <w:bCs/>
          <w:color w:val="000000" w:themeColor="text1"/>
          <w:sz w:val="24"/>
        </w:rPr>
        <w:t>”.</w:t>
      </w:r>
    </w:p>
    <w:p w14:paraId="3504E3B9" w14:textId="77777777" w:rsidR="00E136C8" w:rsidRPr="00F22F33" w:rsidRDefault="00E136C8" w:rsidP="00E136C8">
      <w:pPr>
        <w:pStyle w:val="TitoloB"/>
        <w:keepNext/>
        <w:widowControl w:val="0"/>
        <w:spacing w:before="120" w:after="0" w:line="240" w:lineRule="auto"/>
        <w:ind w:right="0"/>
        <w:jc w:val="both"/>
        <w:outlineLvl w:val="1"/>
        <w:rPr>
          <w:b w:val="0"/>
          <w:bCs w:val="0"/>
          <w:sz w:val="24"/>
          <w:szCs w:val="24"/>
        </w:rPr>
      </w:pPr>
    </w:p>
    <w:p w14:paraId="156FCEB5" w14:textId="6F22EF3A" w:rsidR="005E0305" w:rsidRPr="00F22F33" w:rsidRDefault="005E0305" w:rsidP="005E0305">
      <w:pPr>
        <w:pStyle w:val="TitoloB"/>
        <w:keepNext/>
        <w:widowControl w:val="0"/>
        <w:spacing w:before="120" w:after="0" w:line="240" w:lineRule="auto"/>
        <w:ind w:right="0"/>
        <w:jc w:val="both"/>
        <w:outlineLvl w:val="1"/>
        <w:rPr>
          <w:sz w:val="24"/>
          <w:szCs w:val="24"/>
        </w:rPr>
      </w:pPr>
      <w:bookmarkStart w:id="133" w:name="_Toc131582830"/>
      <w:bookmarkStart w:id="134" w:name="_Toc131582939"/>
      <w:bookmarkStart w:id="135" w:name="_Toc131583558"/>
      <w:proofErr w:type="gramStart"/>
      <w:r w:rsidRPr="00F22F33">
        <w:rPr>
          <w:b w:val="0"/>
          <w:bCs w:val="0"/>
          <w:sz w:val="24"/>
          <w:szCs w:val="24"/>
        </w:rPr>
        <w:t xml:space="preserve">5.10  </w:t>
      </w:r>
      <w:r w:rsidRPr="00F22F33">
        <w:rPr>
          <w:sz w:val="24"/>
          <w:szCs w:val="24"/>
        </w:rPr>
        <w:t>Concorsi</w:t>
      </w:r>
      <w:proofErr w:type="gramEnd"/>
      <w:r w:rsidRPr="00F22F33">
        <w:rPr>
          <w:sz w:val="24"/>
          <w:szCs w:val="24"/>
        </w:rPr>
        <w:t xml:space="preserve"> e selezione del personale</w:t>
      </w:r>
      <w:bookmarkEnd w:id="133"/>
      <w:bookmarkEnd w:id="134"/>
      <w:bookmarkEnd w:id="135"/>
    </w:p>
    <w:p w14:paraId="5188689A" w14:textId="66536011" w:rsidR="005E0305" w:rsidRPr="00F22F33" w:rsidRDefault="005E0305" w:rsidP="005E0305">
      <w:pPr>
        <w:pStyle w:val="Corpotesto"/>
        <w:spacing w:before="120"/>
        <w:jc w:val="both"/>
        <w:rPr>
          <w:bCs/>
          <w:color w:val="000000" w:themeColor="text1"/>
          <w:sz w:val="24"/>
        </w:rPr>
      </w:pPr>
      <w:r w:rsidRPr="00F22F33">
        <w:rPr>
          <w:bCs/>
          <w:color w:val="000000" w:themeColor="text1"/>
          <w:sz w:val="24"/>
        </w:rPr>
        <w:t xml:space="preserve">I concorsi e le procedure selettive si svolgono secondo le prescrizioni del d.lgs. 165/2001 e del regolamento di organizzazione dell’ente. </w:t>
      </w:r>
    </w:p>
    <w:p w14:paraId="7921B063" w14:textId="630D36F2" w:rsidR="005E0305" w:rsidRPr="00F22F33" w:rsidRDefault="005E0305" w:rsidP="005E0305">
      <w:pPr>
        <w:pStyle w:val="Corpotesto"/>
        <w:spacing w:before="120"/>
        <w:jc w:val="both"/>
        <w:rPr>
          <w:bCs/>
          <w:color w:val="000000" w:themeColor="text1"/>
          <w:sz w:val="24"/>
        </w:rPr>
      </w:pPr>
      <w:r w:rsidRPr="00F22F33">
        <w:rPr>
          <w:bCs/>
          <w:color w:val="000000" w:themeColor="text1"/>
          <w:sz w:val="24"/>
        </w:rPr>
        <w:t>Ogni provvedimento relativo a concorsi e procedure selettive è prontamente pubblicato sul sito istituzionale dell’ente nella sezione “</w:t>
      </w:r>
      <w:r w:rsidRPr="00F22F33">
        <w:rPr>
          <w:bCs/>
          <w:i/>
          <w:color w:val="000000" w:themeColor="text1"/>
          <w:sz w:val="24"/>
        </w:rPr>
        <w:t>amministrazione trasparente</w:t>
      </w:r>
      <w:r w:rsidRPr="00F22F33">
        <w:rPr>
          <w:bCs/>
          <w:color w:val="000000" w:themeColor="text1"/>
          <w:sz w:val="24"/>
        </w:rPr>
        <w:t xml:space="preserve">”. </w:t>
      </w:r>
    </w:p>
    <w:p w14:paraId="0D01DDB3" w14:textId="1BA2DDAB" w:rsidR="005E0305" w:rsidRPr="00F22F33" w:rsidRDefault="005E0305" w:rsidP="005E0305">
      <w:pPr>
        <w:pStyle w:val="Corpotesto"/>
        <w:spacing w:before="120"/>
        <w:jc w:val="both"/>
        <w:rPr>
          <w:bCs/>
          <w:color w:val="000000" w:themeColor="text1"/>
          <w:sz w:val="24"/>
        </w:rPr>
      </w:pPr>
    </w:p>
    <w:p w14:paraId="74939BB5" w14:textId="32810B0F" w:rsidR="005E0305" w:rsidRPr="00F22F33" w:rsidRDefault="005E0305" w:rsidP="005E0305">
      <w:pPr>
        <w:pStyle w:val="TitoloB"/>
        <w:keepNext/>
        <w:widowControl w:val="0"/>
        <w:spacing w:before="120" w:after="0" w:line="240" w:lineRule="auto"/>
        <w:ind w:left="360" w:right="0"/>
        <w:jc w:val="both"/>
        <w:outlineLvl w:val="1"/>
        <w:rPr>
          <w:sz w:val="24"/>
          <w:szCs w:val="24"/>
        </w:rPr>
      </w:pPr>
      <w:bookmarkStart w:id="136" w:name="_Toc87523829"/>
      <w:bookmarkStart w:id="137" w:name="_Toc97543259"/>
      <w:bookmarkStart w:id="138" w:name="_Toc131582831"/>
      <w:bookmarkStart w:id="139" w:name="_Toc131582940"/>
      <w:bookmarkStart w:id="140" w:name="_Toc131583559"/>
      <w:r w:rsidRPr="00F22F33">
        <w:rPr>
          <w:sz w:val="24"/>
          <w:szCs w:val="24"/>
        </w:rPr>
        <w:t>5.11 monitoraggio del rispetto dei termini di conclusione dei procedimenti</w:t>
      </w:r>
      <w:bookmarkEnd w:id="136"/>
      <w:bookmarkEnd w:id="137"/>
      <w:bookmarkEnd w:id="138"/>
      <w:bookmarkEnd w:id="139"/>
      <w:bookmarkEnd w:id="140"/>
    </w:p>
    <w:p w14:paraId="5DC9776C" w14:textId="77777777" w:rsidR="005E0305" w:rsidRPr="00F22F33" w:rsidRDefault="005E0305" w:rsidP="005E0305">
      <w:pPr>
        <w:pStyle w:val="Corpotesto"/>
        <w:spacing w:before="120"/>
        <w:jc w:val="both"/>
        <w:rPr>
          <w:bCs/>
          <w:sz w:val="24"/>
        </w:rPr>
      </w:pPr>
      <w:r w:rsidRPr="00F22F33">
        <w:rPr>
          <w:bCs/>
          <w:sz w:val="24"/>
        </w:rPr>
        <w:t xml:space="preserve">Dal monitoraggio dei termini di conclusione dei procedimenti amministrativi potrebbero essere rilevati omissioni e ritardi ingiustificati tali da celare fenomeni corruttivi o, perlomeno, di cattiva amministrazione. </w:t>
      </w:r>
    </w:p>
    <w:p w14:paraId="6E6A354C" w14:textId="5B8CC7A8" w:rsidR="005E0305" w:rsidRPr="00F22F33" w:rsidRDefault="005E0305" w:rsidP="005E0305">
      <w:pPr>
        <w:pStyle w:val="Corpotesto"/>
        <w:spacing w:before="120"/>
        <w:jc w:val="both"/>
        <w:rPr>
          <w:bCs/>
          <w:color w:val="000000" w:themeColor="text1"/>
          <w:sz w:val="24"/>
        </w:rPr>
      </w:pPr>
      <w:r w:rsidRPr="00F22F33">
        <w:rPr>
          <w:bCs/>
          <w:color w:val="000000" w:themeColor="text1"/>
          <w:sz w:val="24"/>
        </w:rPr>
        <w:lastRenderedPageBreak/>
        <w:t xml:space="preserve">Il sistema di monitoraggio dei principali procedimenti è attivato nell’ambito del </w:t>
      </w:r>
      <w:r w:rsidRPr="00F22F33">
        <w:rPr>
          <w:bCs/>
          <w:i/>
          <w:color w:val="000000" w:themeColor="text1"/>
          <w:sz w:val="24"/>
        </w:rPr>
        <w:t>controllo di gestione</w:t>
      </w:r>
      <w:r w:rsidRPr="00F22F33">
        <w:rPr>
          <w:bCs/>
          <w:color w:val="000000" w:themeColor="text1"/>
          <w:sz w:val="24"/>
        </w:rPr>
        <w:t xml:space="preserve"> dell’ente.   </w:t>
      </w:r>
    </w:p>
    <w:p w14:paraId="42D4614E" w14:textId="68A5CF0A" w:rsidR="005E0305" w:rsidRPr="00F22F33" w:rsidRDefault="005E0305" w:rsidP="005E0305">
      <w:pPr>
        <w:pStyle w:val="Corpotesto"/>
        <w:spacing w:before="120"/>
        <w:jc w:val="both"/>
        <w:rPr>
          <w:bCs/>
          <w:color w:val="000000" w:themeColor="text1"/>
          <w:sz w:val="24"/>
        </w:rPr>
      </w:pPr>
    </w:p>
    <w:p w14:paraId="3C04AD71" w14:textId="13E7C153" w:rsidR="005E0305" w:rsidRPr="00F22F33" w:rsidRDefault="005E0305" w:rsidP="005E0305">
      <w:pPr>
        <w:pStyle w:val="Corpotesto"/>
        <w:numPr>
          <w:ilvl w:val="0"/>
          <w:numId w:val="8"/>
        </w:numPr>
        <w:spacing w:before="120"/>
        <w:jc w:val="both"/>
        <w:rPr>
          <w:b/>
          <w:color w:val="000000" w:themeColor="text1"/>
          <w:sz w:val="24"/>
        </w:rPr>
      </w:pPr>
      <w:r w:rsidRPr="00F22F33">
        <w:rPr>
          <w:b/>
          <w:color w:val="000000" w:themeColor="text1"/>
          <w:sz w:val="24"/>
        </w:rPr>
        <w:t>La trasparenza</w:t>
      </w:r>
    </w:p>
    <w:p w14:paraId="3CF0462C" w14:textId="31F63E44" w:rsidR="00915B37" w:rsidRPr="00F22F33" w:rsidRDefault="00915B37" w:rsidP="00915B37">
      <w:pPr>
        <w:pStyle w:val="Corpotesto"/>
        <w:spacing w:before="120"/>
        <w:jc w:val="both"/>
        <w:rPr>
          <w:b/>
          <w:color w:val="000000" w:themeColor="text1"/>
          <w:sz w:val="24"/>
        </w:rPr>
      </w:pPr>
      <w:r w:rsidRPr="00F22F33">
        <w:rPr>
          <w:b/>
          <w:color w:val="000000" w:themeColor="text1"/>
          <w:sz w:val="24"/>
        </w:rPr>
        <w:t>6.1 La trasparenza e l’accesso civico</w:t>
      </w:r>
    </w:p>
    <w:p w14:paraId="43EDFB75" w14:textId="77777777" w:rsidR="005E0305" w:rsidRPr="00F22F33" w:rsidRDefault="005E0305" w:rsidP="005E0305">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La trasparenza è la misura cardine dell’intero impianto anticorruzione delineato dal legislatore della legge 190/2012. </w:t>
      </w:r>
    </w:p>
    <w:p w14:paraId="1BD49192" w14:textId="77777777" w:rsidR="005E0305" w:rsidRPr="00F22F33" w:rsidRDefault="005E0305" w:rsidP="005E0305">
      <w:pPr>
        <w:spacing w:before="120" w:after="0" w:line="240" w:lineRule="auto"/>
        <w:jc w:val="both"/>
        <w:rPr>
          <w:rFonts w:ascii="Arial" w:hAnsi="Arial" w:cs="Arial"/>
          <w:bCs/>
          <w:color w:val="0F243E" w:themeColor="text2" w:themeShade="80"/>
          <w:sz w:val="24"/>
          <w:szCs w:val="24"/>
        </w:rPr>
      </w:pPr>
      <w:r w:rsidRPr="00F22F33">
        <w:rPr>
          <w:rFonts w:ascii="Arial" w:hAnsi="Arial" w:cs="Arial"/>
          <w:bCs/>
          <w:color w:val="0F243E" w:themeColor="text2" w:themeShade="80"/>
          <w:sz w:val="24"/>
          <w:szCs w:val="24"/>
        </w:rPr>
        <w:t xml:space="preserve">Secondo l'art. 1 del d.lgs. 33/2013, rinnovato dal d.lgs. 97/2016: “La trasparenza è intesa come </w:t>
      </w:r>
      <w:r w:rsidRPr="00F22F33">
        <w:rPr>
          <w:rFonts w:ascii="Arial" w:hAnsi="Arial" w:cs="Arial"/>
          <w:b/>
          <w:bCs/>
          <w:color w:val="0F243E" w:themeColor="text2" w:themeShade="80"/>
          <w:sz w:val="24"/>
          <w:szCs w:val="24"/>
        </w:rPr>
        <w:t>accessibilità totale dei dati e documenti detenuti dalle pubbliche amministrazioni</w:t>
      </w:r>
      <w:r w:rsidRPr="00F22F33">
        <w:rPr>
          <w:rFonts w:ascii="Arial" w:hAnsi="Arial" w:cs="Arial"/>
          <w:bCs/>
          <w:color w:val="0F243E" w:themeColor="text2" w:themeShade="80"/>
          <w:sz w:val="24"/>
          <w:szCs w:val="24"/>
        </w:rPr>
        <w:t>, allo scopo di tutelare i diritti dei cittadini, promuovere la partecipazione degli interessati all'attività amministrativa e favorire forme diffuse di controllo sul perseguimento delle funzioni istituzionali e sull'utilizzo delle risorse pubbliche.”</w:t>
      </w:r>
    </w:p>
    <w:p w14:paraId="44E14E41" w14:textId="77777777" w:rsidR="005E0305" w:rsidRPr="00F22F33" w:rsidRDefault="005E0305" w:rsidP="005E0305">
      <w:pPr>
        <w:spacing w:before="120" w:after="0" w:line="240" w:lineRule="auto"/>
        <w:jc w:val="both"/>
        <w:rPr>
          <w:rFonts w:ascii="Arial" w:hAnsi="Arial" w:cs="Arial"/>
          <w:bCs/>
          <w:color w:val="0F243E" w:themeColor="text2" w:themeShade="80"/>
          <w:sz w:val="24"/>
          <w:szCs w:val="24"/>
        </w:rPr>
      </w:pPr>
      <w:r w:rsidRPr="00F22F33">
        <w:rPr>
          <w:rFonts w:ascii="Arial" w:hAnsi="Arial" w:cs="Arial"/>
          <w:bCs/>
          <w:color w:val="0F243E" w:themeColor="text2" w:themeShade="80"/>
          <w:sz w:val="24"/>
          <w:szCs w:val="24"/>
        </w:rPr>
        <w:t xml:space="preserve">La trasparenza è attuata principalmente attraverso la pubblicazione dei dati e delle informazioni elencate dalla legge sul sito web nella sezione "Amministrazione trasparente". </w:t>
      </w:r>
    </w:p>
    <w:p w14:paraId="13E00E91" w14:textId="77777777" w:rsidR="00915B37" w:rsidRPr="00F22F33" w:rsidRDefault="00915B37" w:rsidP="00915B37">
      <w:pPr>
        <w:spacing w:before="120" w:after="0" w:line="240" w:lineRule="auto"/>
        <w:jc w:val="both"/>
        <w:rPr>
          <w:rFonts w:ascii="Arial" w:hAnsi="Arial" w:cs="Arial"/>
          <w:bCs/>
          <w:sz w:val="24"/>
          <w:szCs w:val="24"/>
        </w:rPr>
      </w:pPr>
      <w:r w:rsidRPr="00F22F33">
        <w:rPr>
          <w:rFonts w:ascii="Arial" w:hAnsi="Arial" w:cs="Arial"/>
          <w:bCs/>
          <w:sz w:val="24"/>
          <w:szCs w:val="24"/>
        </w:rPr>
        <w:t xml:space="preserve">La trasparenza è attuata: </w:t>
      </w:r>
    </w:p>
    <w:p w14:paraId="159B9AEF" w14:textId="77777777" w:rsidR="00915B37" w:rsidRPr="00F22F33" w:rsidRDefault="00915B37" w:rsidP="00915B37">
      <w:pPr>
        <w:spacing w:before="120" w:after="0" w:line="240" w:lineRule="auto"/>
        <w:jc w:val="both"/>
        <w:rPr>
          <w:rFonts w:ascii="Arial" w:hAnsi="Arial" w:cs="Arial"/>
          <w:bCs/>
          <w:sz w:val="24"/>
          <w:szCs w:val="24"/>
        </w:rPr>
      </w:pPr>
      <w:r w:rsidRPr="00F22F33">
        <w:rPr>
          <w:rFonts w:ascii="Arial" w:hAnsi="Arial" w:cs="Arial"/>
          <w:bCs/>
          <w:sz w:val="24"/>
          <w:szCs w:val="24"/>
        </w:rPr>
        <w:t>attraverso la pubblicazione dei dati e delle informazioni elencate dalla legge sul sito web istituzionale nella sezione “</w:t>
      </w:r>
      <w:r w:rsidRPr="00F22F33">
        <w:rPr>
          <w:rFonts w:ascii="Arial" w:hAnsi="Arial" w:cs="Arial"/>
          <w:sz w:val="24"/>
          <w:szCs w:val="24"/>
        </w:rPr>
        <w:t>Amministrazione trasparente</w:t>
      </w:r>
      <w:r w:rsidRPr="00F22F33">
        <w:rPr>
          <w:rFonts w:ascii="Arial" w:hAnsi="Arial" w:cs="Arial"/>
          <w:bCs/>
          <w:sz w:val="24"/>
          <w:szCs w:val="24"/>
        </w:rPr>
        <w:t xml:space="preserve">”; </w:t>
      </w:r>
    </w:p>
    <w:p w14:paraId="0D938D88" w14:textId="77777777" w:rsidR="00915B37" w:rsidRPr="00F22F33" w:rsidRDefault="00915B37" w:rsidP="00915B37">
      <w:pPr>
        <w:spacing w:before="120" w:after="0" w:line="240" w:lineRule="auto"/>
        <w:jc w:val="both"/>
        <w:rPr>
          <w:rFonts w:ascii="Arial" w:hAnsi="Arial" w:cs="Arial"/>
          <w:bCs/>
          <w:sz w:val="24"/>
          <w:szCs w:val="24"/>
        </w:rPr>
      </w:pPr>
      <w:r w:rsidRPr="00F22F33">
        <w:rPr>
          <w:rFonts w:ascii="Arial" w:hAnsi="Arial" w:cs="Arial"/>
          <w:bCs/>
          <w:sz w:val="24"/>
          <w:szCs w:val="24"/>
        </w:rPr>
        <w:t xml:space="preserve">l’istituto dell’accesso civico, classificato in semplice e generalizzato. </w:t>
      </w:r>
    </w:p>
    <w:p w14:paraId="70A9518D" w14:textId="77777777" w:rsidR="00915B37" w:rsidRPr="00F22F33" w:rsidRDefault="00915B37" w:rsidP="00915B37">
      <w:pPr>
        <w:spacing w:before="120" w:after="0" w:line="240" w:lineRule="auto"/>
        <w:jc w:val="both"/>
        <w:rPr>
          <w:rFonts w:ascii="Arial" w:hAnsi="Arial" w:cs="Arial"/>
          <w:bCs/>
          <w:sz w:val="24"/>
          <w:szCs w:val="24"/>
        </w:rPr>
      </w:pPr>
      <w:r w:rsidRPr="00F22F33">
        <w:rPr>
          <w:rFonts w:ascii="Arial" w:hAnsi="Arial" w:cs="Arial"/>
          <w:bCs/>
          <w:sz w:val="24"/>
          <w:szCs w:val="24"/>
        </w:rPr>
        <w:t>Il comma 1, dell’art. 5 del d.lgs. 33/2013, prevede: “L'obbligo previsto dalla normativa vigente in capo alle pubbliche amministrazioni di pubblicare documenti, informazioni o dati comporta il diritto di chiunque di richiedere i medesimi, nei casi in cui sia stata omessa la loro pubblicazione” (</w:t>
      </w:r>
      <w:r w:rsidRPr="00F22F33">
        <w:rPr>
          <w:rFonts w:ascii="Arial" w:hAnsi="Arial" w:cs="Arial"/>
          <w:b/>
          <w:bCs/>
          <w:sz w:val="24"/>
          <w:szCs w:val="24"/>
        </w:rPr>
        <w:t>accesso civico semplice</w:t>
      </w:r>
      <w:r w:rsidRPr="00F22F33">
        <w:rPr>
          <w:rFonts w:ascii="Arial" w:hAnsi="Arial" w:cs="Arial"/>
          <w:bCs/>
          <w:sz w:val="24"/>
          <w:szCs w:val="24"/>
        </w:rPr>
        <w:t>). Il comma 2, dello stesso art. 5, recita: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obbligatoria ai sensi del d.lgs. 33/2013 (</w:t>
      </w:r>
      <w:r w:rsidRPr="00F22F33">
        <w:rPr>
          <w:rFonts w:ascii="Arial" w:hAnsi="Arial" w:cs="Arial"/>
          <w:b/>
          <w:bCs/>
          <w:sz w:val="24"/>
          <w:szCs w:val="24"/>
        </w:rPr>
        <w:t>accesso civico generalizzato</w:t>
      </w:r>
      <w:r w:rsidRPr="00F22F33">
        <w:rPr>
          <w:rFonts w:ascii="Arial" w:hAnsi="Arial" w:cs="Arial"/>
          <w:bCs/>
          <w:sz w:val="24"/>
          <w:szCs w:val="24"/>
        </w:rPr>
        <w:t xml:space="preserve">). </w:t>
      </w:r>
    </w:p>
    <w:p w14:paraId="671783A6" w14:textId="77777777" w:rsidR="00F84F8A" w:rsidRPr="00F22F33" w:rsidRDefault="00F84F8A" w:rsidP="005E0305">
      <w:pPr>
        <w:pStyle w:val="Corpotesto"/>
        <w:spacing w:before="120"/>
        <w:jc w:val="both"/>
        <w:rPr>
          <w:bCs/>
          <w:color w:val="000000" w:themeColor="text1"/>
          <w:sz w:val="24"/>
        </w:rPr>
      </w:pPr>
    </w:p>
    <w:p w14:paraId="148F2A26" w14:textId="0C0350D0" w:rsidR="00915B37" w:rsidRPr="00F22F33" w:rsidRDefault="00562824" w:rsidP="00915B37">
      <w:pPr>
        <w:pStyle w:val="TitoloB"/>
        <w:keepNext/>
        <w:widowControl w:val="0"/>
        <w:numPr>
          <w:ilvl w:val="1"/>
          <w:numId w:val="2"/>
        </w:numPr>
        <w:spacing w:before="120" w:after="0" w:line="240" w:lineRule="auto"/>
        <w:ind w:right="0"/>
        <w:jc w:val="both"/>
        <w:outlineLvl w:val="1"/>
        <w:rPr>
          <w:sz w:val="24"/>
          <w:szCs w:val="24"/>
        </w:rPr>
      </w:pPr>
      <w:bookmarkStart w:id="141" w:name="_Toc87523810"/>
      <w:bookmarkStart w:id="142" w:name="_Toc97543263"/>
      <w:r>
        <w:rPr>
          <w:sz w:val="24"/>
          <w:szCs w:val="24"/>
        </w:rPr>
        <w:t xml:space="preserve"> </w:t>
      </w:r>
      <w:bookmarkStart w:id="143" w:name="_Toc131582832"/>
      <w:bookmarkStart w:id="144" w:name="_Toc131582941"/>
      <w:bookmarkStart w:id="145" w:name="_Toc131583560"/>
      <w:r w:rsidR="00915B37" w:rsidRPr="00F22F33">
        <w:rPr>
          <w:sz w:val="24"/>
          <w:szCs w:val="24"/>
        </w:rPr>
        <w:t>Il regolamento ed il registro delle domande di accesso</w:t>
      </w:r>
      <w:bookmarkEnd w:id="141"/>
      <w:bookmarkEnd w:id="142"/>
      <w:bookmarkEnd w:id="143"/>
      <w:bookmarkEnd w:id="144"/>
      <w:bookmarkEnd w:id="145"/>
    </w:p>
    <w:p w14:paraId="5350B537" w14:textId="77777777" w:rsidR="00915B37" w:rsidRPr="00F22F33" w:rsidRDefault="00915B37" w:rsidP="00915B37">
      <w:pPr>
        <w:spacing w:before="120" w:after="0" w:line="240" w:lineRule="auto"/>
        <w:jc w:val="both"/>
        <w:rPr>
          <w:rFonts w:ascii="Arial" w:hAnsi="Arial" w:cs="Arial"/>
          <w:bCs/>
          <w:sz w:val="24"/>
          <w:szCs w:val="24"/>
        </w:rPr>
      </w:pPr>
      <w:r w:rsidRPr="00F22F33">
        <w:rPr>
          <w:rFonts w:ascii="Arial" w:hAnsi="Arial" w:cs="Arial"/>
          <w:bCs/>
          <w:sz w:val="24"/>
          <w:szCs w:val="24"/>
        </w:rPr>
        <w:t xml:space="preserve">L’Autorità suggerisce l’adozione, anche nella forma di un regolamento, di una disciplina che fornisca un quadro organico e coordinato dei profili applicativi relativi alle diverse tipologie di accesso. </w:t>
      </w:r>
    </w:p>
    <w:p w14:paraId="5A44EEC6" w14:textId="77777777" w:rsidR="00915B37" w:rsidRPr="00F22F33" w:rsidRDefault="00915B37" w:rsidP="00915B37">
      <w:pPr>
        <w:spacing w:before="120" w:after="0" w:line="240" w:lineRule="auto"/>
        <w:jc w:val="both"/>
        <w:rPr>
          <w:rFonts w:ascii="Arial" w:hAnsi="Arial" w:cs="Arial"/>
          <w:bCs/>
          <w:sz w:val="24"/>
          <w:szCs w:val="24"/>
        </w:rPr>
      </w:pPr>
      <w:r w:rsidRPr="00F22F33">
        <w:rPr>
          <w:rFonts w:ascii="Arial" w:hAnsi="Arial" w:cs="Arial"/>
          <w:bCs/>
          <w:sz w:val="24"/>
          <w:szCs w:val="24"/>
        </w:rPr>
        <w:t xml:space="preserve">La disciplina regolamentare dovrebbe prevedere: una parte dedicata alla disciplina dell’accesso documentale di cui alla legge 241/1990; una seconda parte dedicata alla disciplina dell’accesso civico “semplice” connesso agli obblighi di pubblicazione; una terza parte sull’accesso generalizzato. </w:t>
      </w:r>
    </w:p>
    <w:p w14:paraId="1F3B05B9" w14:textId="77777777" w:rsidR="00915B37" w:rsidRPr="00F22F33" w:rsidRDefault="00915B37" w:rsidP="00915B37">
      <w:pPr>
        <w:spacing w:before="120" w:after="0" w:line="240" w:lineRule="auto"/>
        <w:jc w:val="both"/>
        <w:rPr>
          <w:rFonts w:ascii="Arial" w:hAnsi="Arial" w:cs="Arial"/>
          <w:bCs/>
          <w:sz w:val="24"/>
          <w:szCs w:val="24"/>
        </w:rPr>
      </w:pPr>
      <w:bookmarkStart w:id="146" w:name="_Toc405477342"/>
      <w:r w:rsidRPr="00F22F33">
        <w:rPr>
          <w:rFonts w:ascii="Arial" w:hAnsi="Arial" w:cs="Arial"/>
          <w:bCs/>
          <w:sz w:val="24"/>
          <w:szCs w:val="24"/>
        </w:rPr>
        <w:lastRenderedPageBreak/>
        <w:t xml:space="preserve">L’Autorità propone il </w:t>
      </w:r>
      <w:r w:rsidRPr="00F22F33">
        <w:rPr>
          <w:rFonts w:ascii="Arial" w:hAnsi="Arial" w:cs="Arial"/>
          <w:b/>
          <w:color w:val="FF0000"/>
          <w:sz w:val="24"/>
          <w:szCs w:val="24"/>
          <w:u w:val="single"/>
        </w:rPr>
        <w:t>Registro delle richieste di accesso</w:t>
      </w:r>
      <w:r w:rsidRPr="00F22F33">
        <w:rPr>
          <w:rFonts w:ascii="Arial" w:hAnsi="Arial" w:cs="Arial"/>
          <w:bCs/>
          <w:sz w:val="24"/>
          <w:szCs w:val="24"/>
        </w:rPr>
        <w:t xml:space="preserve"> da istituire presso ogni amministrazione. </w:t>
      </w:r>
    </w:p>
    <w:p w14:paraId="4890C202" w14:textId="006F0FF8" w:rsidR="00915B37" w:rsidRPr="00F22F33" w:rsidRDefault="00915B37" w:rsidP="00915B37">
      <w:pPr>
        <w:spacing w:before="120" w:after="0" w:line="240" w:lineRule="auto"/>
        <w:jc w:val="both"/>
        <w:rPr>
          <w:rFonts w:ascii="Arial" w:hAnsi="Arial" w:cs="Arial"/>
          <w:bCs/>
          <w:i/>
          <w:iCs/>
          <w:color w:val="FF0000"/>
          <w:sz w:val="24"/>
          <w:szCs w:val="24"/>
        </w:rPr>
      </w:pPr>
    </w:p>
    <w:p w14:paraId="20DB1679" w14:textId="64867BCB" w:rsidR="00915B37" w:rsidRPr="00F22F33" w:rsidRDefault="00915B37" w:rsidP="00893C0F">
      <w:pPr>
        <w:pStyle w:val="TitoloB"/>
        <w:keepNext/>
        <w:widowControl w:val="0"/>
        <w:numPr>
          <w:ilvl w:val="1"/>
          <w:numId w:val="2"/>
        </w:numPr>
        <w:spacing w:before="120" w:after="0" w:line="240" w:lineRule="auto"/>
        <w:ind w:right="0"/>
        <w:jc w:val="both"/>
        <w:outlineLvl w:val="1"/>
        <w:rPr>
          <w:sz w:val="24"/>
          <w:szCs w:val="24"/>
        </w:rPr>
      </w:pPr>
      <w:bookmarkStart w:id="147" w:name="_Toc87523813"/>
      <w:bookmarkStart w:id="148" w:name="_Toc97543264"/>
      <w:bookmarkStart w:id="149" w:name="_Toc131582833"/>
      <w:bookmarkStart w:id="150" w:name="_Toc131582942"/>
      <w:bookmarkStart w:id="151" w:name="_Toc131583561"/>
      <w:bookmarkEnd w:id="146"/>
      <w:r w:rsidRPr="00F22F33">
        <w:rPr>
          <w:sz w:val="24"/>
          <w:szCs w:val="24"/>
        </w:rPr>
        <w:t xml:space="preserve">Le modalità attuative degli obblighi di </w:t>
      </w:r>
      <w:bookmarkEnd w:id="147"/>
      <w:r w:rsidRPr="00F22F33">
        <w:rPr>
          <w:sz w:val="24"/>
          <w:szCs w:val="24"/>
        </w:rPr>
        <w:t>pubblicazione</w:t>
      </w:r>
      <w:bookmarkEnd w:id="148"/>
      <w:bookmarkEnd w:id="149"/>
      <w:bookmarkEnd w:id="150"/>
      <w:bookmarkEnd w:id="151"/>
    </w:p>
    <w:p w14:paraId="0FF9D921" w14:textId="77777777" w:rsidR="00915B37" w:rsidRPr="00F22F33" w:rsidRDefault="00915B37" w:rsidP="00915B3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L’Allegato n. 1, della deliberazione ANAC 28/12/2016 n. 1310, integrando i contenuti della scheda allegata al d.lgs. 33/2013, ha rinnovato la struttura delle informazioni da pubblicarsi sui siti delle pubbliche amministrazioni, adeguandola alle novità introdotte dal d.lgs. 97/2016.  </w:t>
      </w:r>
    </w:p>
    <w:p w14:paraId="7F0B912A" w14:textId="77777777" w:rsidR="00915B37" w:rsidRPr="00F22F33" w:rsidRDefault="00915B37" w:rsidP="00915B3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Il legislatore ha organizzato in </w:t>
      </w:r>
      <w:proofErr w:type="gramStart"/>
      <w:r w:rsidRPr="00F22F33">
        <w:rPr>
          <w:rFonts w:ascii="Arial" w:hAnsi="Arial" w:cs="Arial"/>
          <w:bCs/>
          <w:color w:val="000000" w:themeColor="text1"/>
          <w:sz w:val="24"/>
          <w:szCs w:val="24"/>
        </w:rPr>
        <w:t>sotto-sezioni</w:t>
      </w:r>
      <w:proofErr w:type="gramEnd"/>
      <w:r w:rsidRPr="00F22F33">
        <w:rPr>
          <w:rFonts w:ascii="Arial" w:hAnsi="Arial" w:cs="Arial"/>
          <w:bCs/>
          <w:color w:val="000000" w:themeColor="text1"/>
          <w:sz w:val="24"/>
          <w:szCs w:val="24"/>
        </w:rPr>
        <w:t xml:space="preserve"> di primo e di secondo livello le informazioni, i documenti ed i dati da pubblicare obbligatoriamente nella sezione “Amministrazione trasparente”. </w:t>
      </w:r>
    </w:p>
    <w:p w14:paraId="79CCF1B7" w14:textId="77777777" w:rsidR="00915B37" w:rsidRPr="00F22F33" w:rsidRDefault="00915B37" w:rsidP="00915B3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Le </w:t>
      </w:r>
      <w:proofErr w:type="gramStart"/>
      <w:r w:rsidRPr="00F22F33">
        <w:rPr>
          <w:rFonts w:ascii="Arial" w:hAnsi="Arial" w:cs="Arial"/>
          <w:bCs/>
          <w:color w:val="000000" w:themeColor="text1"/>
          <w:sz w:val="24"/>
          <w:szCs w:val="24"/>
        </w:rPr>
        <w:t>sotto-sezioni</w:t>
      </w:r>
      <w:proofErr w:type="gramEnd"/>
      <w:r w:rsidRPr="00F22F33">
        <w:rPr>
          <w:rFonts w:ascii="Arial" w:hAnsi="Arial" w:cs="Arial"/>
          <w:bCs/>
          <w:color w:val="000000" w:themeColor="text1"/>
          <w:sz w:val="24"/>
          <w:szCs w:val="24"/>
        </w:rPr>
        <w:t xml:space="preserve"> devono essere denominate esattamente come indicato dalla deliberazione ANAC 1310/2016. </w:t>
      </w:r>
    </w:p>
    <w:p w14:paraId="4661E441" w14:textId="77777777" w:rsidR="00915B37" w:rsidRPr="00F22F33" w:rsidRDefault="00915B37" w:rsidP="00915B3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Le schede allegate denominate "</w:t>
      </w:r>
      <w:r w:rsidRPr="00F22F33">
        <w:rPr>
          <w:rFonts w:ascii="Arial" w:hAnsi="Arial" w:cs="Arial"/>
          <w:b/>
          <w:bCs/>
          <w:color w:val="000000" w:themeColor="text1"/>
          <w:sz w:val="24"/>
          <w:szCs w:val="24"/>
          <w:u w:val="single"/>
        </w:rPr>
        <w:t>Allegato D - Misure di trasparenza</w:t>
      </w:r>
      <w:r w:rsidRPr="00F22F33">
        <w:rPr>
          <w:rFonts w:ascii="Arial" w:hAnsi="Arial" w:cs="Arial"/>
          <w:bCs/>
          <w:color w:val="000000" w:themeColor="text1"/>
          <w:sz w:val="24"/>
          <w:szCs w:val="24"/>
        </w:rPr>
        <w:t xml:space="preserve">" ripropongono fedelmente i contenuti, assai puntuali e dettagliati, quindi più che esaustivi, dell’Allegato n. 1 della deliberazione ANAC 28/12/2016, n. 1310. </w:t>
      </w:r>
    </w:p>
    <w:p w14:paraId="347E654F" w14:textId="77777777" w:rsidR="00915B37" w:rsidRPr="00F22F33" w:rsidRDefault="00915B37" w:rsidP="00915B3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Rispetto alla deliberazione 1310/2016, le tabelle di questo piano sono composte da sette colonne, anziché sei. </w:t>
      </w:r>
    </w:p>
    <w:p w14:paraId="70015D6A" w14:textId="77777777" w:rsidR="00915B37" w:rsidRPr="00F22F33" w:rsidRDefault="00915B37" w:rsidP="00915B37">
      <w:pPr>
        <w:spacing w:before="120" w:after="0" w:line="240" w:lineRule="auto"/>
        <w:jc w:val="both"/>
        <w:rPr>
          <w:rFonts w:ascii="Arial" w:hAnsi="Arial" w:cs="Arial"/>
          <w:bCs/>
          <w:color w:val="FF0000"/>
          <w:sz w:val="24"/>
          <w:szCs w:val="24"/>
        </w:rPr>
      </w:pPr>
      <w:r w:rsidRPr="00F22F33">
        <w:rPr>
          <w:rFonts w:ascii="Arial" w:hAnsi="Arial" w:cs="Arial"/>
          <w:bCs/>
          <w:color w:val="FF0000"/>
          <w:sz w:val="24"/>
          <w:szCs w:val="24"/>
        </w:rPr>
        <w:t>È stata aggiunta la “</w:t>
      </w:r>
      <w:r w:rsidRPr="00F22F33">
        <w:rPr>
          <w:rFonts w:ascii="Arial" w:hAnsi="Arial" w:cs="Arial"/>
          <w:b/>
          <w:bCs/>
          <w:color w:val="FF0000"/>
          <w:sz w:val="24"/>
          <w:szCs w:val="24"/>
          <w:u w:val="single"/>
        </w:rPr>
        <w:t>Colonna G</w:t>
      </w:r>
      <w:r w:rsidRPr="00F22F33">
        <w:rPr>
          <w:rFonts w:ascii="Arial" w:hAnsi="Arial" w:cs="Arial"/>
          <w:bCs/>
          <w:color w:val="FF0000"/>
          <w:sz w:val="24"/>
          <w:szCs w:val="24"/>
        </w:rPr>
        <w:t xml:space="preserve">” (a destra) </w:t>
      </w:r>
      <w:r w:rsidRPr="00F22F33">
        <w:rPr>
          <w:rFonts w:ascii="Arial" w:hAnsi="Arial" w:cs="Arial"/>
          <w:b/>
          <w:color w:val="FF0000"/>
          <w:sz w:val="24"/>
          <w:szCs w:val="24"/>
        </w:rPr>
        <w:t xml:space="preserve">per poter individuare, in modo chiaro, </w:t>
      </w:r>
      <w:r w:rsidRPr="00F22F33">
        <w:rPr>
          <w:rFonts w:ascii="Arial" w:hAnsi="Arial" w:cs="Arial"/>
          <w:b/>
          <w:color w:val="FF0000"/>
          <w:sz w:val="24"/>
          <w:szCs w:val="24"/>
          <w:u w:val="single"/>
        </w:rPr>
        <w:t>l’ufficio responsabile delle pubblicazioni</w:t>
      </w:r>
      <w:r w:rsidRPr="00F22F33">
        <w:rPr>
          <w:rFonts w:ascii="Arial" w:hAnsi="Arial" w:cs="Arial"/>
          <w:b/>
          <w:color w:val="FF0000"/>
          <w:sz w:val="24"/>
          <w:szCs w:val="24"/>
        </w:rPr>
        <w:t xml:space="preserve"> previste nelle altre colonne</w:t>
      </w:r>
      <w:r w:rsidRPr="00F22F33">
        <w:rPr>
          <w:rFonts w:ascii="Arial" w:hAnsi="Arial" w:cs="Arial"/>
          <w:bCs/>
          <w:color w:val="FF0000"/>
          <w:sz w:val="24"/>
          <w:szCs w:val="24"/>
        </w:rPr>
        <w:t xml:space="preserve">.  </w:t>
      </w:r>
    </w:p>
    <w:p w14:paraId="7F69A3EA" w14:textId="77777777" w:rsidR="00915B37" w:rsidRPr="00F22F33" w:rsidRDefault="00915B37" w:rsidP="00915B37">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Le tabelle, organizzate in sette colonne, recano i dati seguenti: </w:t>
      </w:r>
    </w:p>
    <w:p w14:paraId="12C24451" w14:textId="77777777" w:rsidR="00915B37" w:rsidRPr="00F22F33" w:rsidRDefault="00915B37" w:rsidP="00915B37">
      <w:pPr>
        <w:spacing w:before="120" w:after="0" w:line="240" w:lineRule="auto"/>
        <w:jc w:val="both"/>
        <w:rPr>
          <w:rFonts w:ascii="Arial" w:hAnsi="Arial" w:cs="Arial"/>
          <w:bCs/>
          <w:color w:val="000000" w:themeColor="text1"/>
          <w:sz w:val="24"/>
          <w:szCs w:val="24"/>
        </w:rPr>
      </w:pPr>
    </w:p>
    <w:tbl>
      <w:tblPr>
        <w:tblStyle w:val="Grigliatabella"/>
        <w:tblW w:w="0" w:type="auto"/>
        <w:tblInd w:w="392" w:type="dxa"/>
        <w:tblLook w:val="04A0" w:firstRow="1" w:lastRow="0" w:firstColumn="1" w:lastColumn="0" w:noHBand="0" w:noVBand="1"/>
      </w:tblPr>
      <w:tblGrid>
        <w:gridCol w:w="1430"/>
        <w:gridCol w:w="6104"/>
      </w:tblGrid>
      <w:tr w:rsidR="00915B37" w:rsidRPr="00F22F33" w14:paraId="4BAAF400" w14:textId="77777777" w:rsidTr="00FE61FB">
        <w:tc>
          <w:tcPr>
            <w:tcW w:w="1168" w:type="dxa"/>
          </w:tcPr>
          <w:p w14:paraId="41C39817" w14:textId="77777777" w:rsidR="00915B37" w:rsidRPr="00F22F33" w:rsidRDefault="00915B37" w:rsidP="00FE61FB">
            <w:pPr>
              <w:spacing w:before="120" w:after="0" w:line="240" w:lineRule="auto"/>
              <w:jc w:val="center"/>
              <w:rPr>
                <w:rFonts w:ascii="Arial" w:hAnsi="Arial" w:cs="Arial"/>
                <w:b/>
                <w:color w:val="000000" w:themeColor="text1"/>
                <w:sz w:val="24"/>
                <w:szCs w:val="24"/>
              </w:rPr>
            </w:pPr>
            <w:r w:rsidRPr="00F22F33">
              <w:rPr>
                <w:rFonts w:ascii="Arial" w:hAnsi="Arial" w:cs="Arial"/>
                <w:b/>
                <w:color w:val="000000" w:themeColor="text1"/>
                <w:sz w:val="24"/>
                <w:szCs w:val="24"/>
              </w:rPr>
              <w:t>COLONNA</w:t>
            </w:r>
          </w:p>
        </w:tc>
        <w:tc>
          <w:tcPr>
            <w:tcW w:w="6408" w:type="dxa"/>
          </w:tcPr>
          <w:p w14:paraId="07AE7AD5" w14:textId="77777777" w:rsidR="00915B37" w:rsidRPr="00F22F33" w:rsidRDefault="00915B37" w:rsidP="00FE61FB">
            <w:pPr>
              <w:spacing w:before="120" w:after="0" w:line="240" w:lineRule="auto"/>
              <w:jc w:val="center"/>
              <w:rPr>
                <w:rFonts w:ascii="Arial" w:hAnsi="Arial" w:cs="Arial"/>
                <w:b/>
                <w:color w:val="000000" w:themeColor="text1"/>
                <w:sz w:val="24"/>
                <w:szCs w:val="24"/>
              </w:rPr>
            </w:pPr>
            <w:r w:rsidRPr="00F22F33">
              <w:rPr>
                <w:rFonts w:ascii="Arial" w:hAnsi="Arial" w:cs="Arial"/>
                <w:b/>
                <w:color w:val="000000" w:themeColor="text1"/>
                <w:sz w:val="24"/>
                <w:szCs w:val="24"/>
              </w:rPr>
              <w:t>CONTENUTO</w:t>
            </w:r>
          </w:p>
        </w:tc>
      </w:tr>
      <w:tr w:rsidR="00915B37" w:rsidRPr="00F22F33" w14:paraId="2FB53078" w14:textId="77777777" w:rsidTr="00FE61FB">
        <w:tc>
          <w:tcPr>
            <w:tcW w:w="1168" w:type="dxa"/>
          </w:tcPr>
          <w:p w14:paraId="785F8DCC" w14:textId="77777777" w:rsidR="00915B37" w:rsidRPr="00F22F33" w:rsidRDefault="00915B37" w:rsidP="00FE61FB">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A</w:t>
            </w:r>
          </w:p>
        </w:tc>
        <w:tc>
          <w:tcPr>
            <w:tcW w:w="6408" w:type="dxa"/>
          </w:tcPr>
          <w:p w14:paraId="04CFB73C" w14:textId="77777777" w:rsidR="00915B37" w:rsidRPr="00F22F33" w:rsidRDefault="00915B37" w:rsidP="00FE61FB">
            <w:pPr>
              <w:spacing w:before="120" w:after="0" w:line="240" w:lineRule="auto"/>
              <w:rPr>
                <w:rFonts w:ascii="Arial" w:hAnsi="Arial" w:cs="Arial"/>
                <w:bCs/>
                <w:color w:val="000000" w:themeColor="text1"/>
                <w:sz w:val="24"/>
                <w:szCs w:val="24"/>
              </w:rPr>
            </w:pPr>
            <w:r w:rsidRPr="00F22F33">
              <w:rPr>
                <w:rFonts w:ascii="Arial" w:hAnsi="Arial" w:cs="Arial"/>
                <w:bCs/>
                <w:color w:val="000000" w:themeColor="text1"/>
                <w:sz w:val="24"/>
                <w:szCs w:val="24"/>
              </w:rPr>
              <w:t xml:space="preserve">denominazione delle </w:t>
            </w:r>
            <w:proofErr w:type="gramStart"/>
            <w:r w:rsidRPr="00F22F33">
              <w:rPr>
                <w:rFonts w:ascii="Arial" w:hAnsi="Arial" w:cs="Arial"/>
                <w:bCs/>
                <w:color w:val="000000" w:themeColor="text1"/>
                <w:sz w:val="24"/>
                <w:szCs w:val="24"/>
              </w:rPr>
              <w:t>sotto-sezioni</w:t>
            </w:r>
            <w:proofErr w:type="gramEnd"/>
            <w:r w:rsidRPr="00F22F33">
              <w:rPr>
                <w:rFonts w:ascii="Arial" w:hAnsi="Arial" w:cs="Arial"/>
                <w:bCs/>
                <w:color w:val="000000" w:themeColor="text1"/>
                <w:sz w:val="24"/>
                <w:szCs w:val="24"/>
              </w:rPr>
              <w:t xml:space="preserve"> di primo livello</w:t>
            </w:r>
          </w:p>
        </w:tc>
      </w:tr>
      <w:tr w:rsidR="00915B37" w:rsidRPr="00F22F33" w14:paraId="4DB15452" w14:textId="77777777" w:rsidTr="00FE61FB">
        <w:tc>
          <w:tcPr>
            <w:tcW w:w="1168" w:type="dxa"/>
          </w:tcPr>
          <w:p w14:paraId="551143DC" w14:textId="77777777" w:rsidR="00915B37" w:rsidRPr="00F22F33" w:rsidRDefault="00915B37" w:rsidP="00FE61FB">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B</w:t>
            </w:r>
          </w:p>
        </w:tc>
        <w:tc>
          <w:tcPr>
            <w:tcW w:w="6408" w:type="dxa"/>
          </w:tcPr>
          <w:p w14:paraId="126527B7" w14:textId="77777777" w:rsidR="00915B37" w:rsidRPr="00F22F33" w:rsidRDefault="00915B37" w:rsidP="00FE61FB">
            <w:pPr>
              <w:spacing w:before="120" w:after="0" w:line="240" w:lineRule="auto"/>
              <w:rPr>
                <w:rFonts w:ascii="Arial" w:hAnsi="Arial" w:cs="Arial"/>
                <w:bCs/>
                <w:color w:val="000000" w:themeColor="text1"/>
                <w:sz w:val="24"/>
                <w:szCs w:val="24"/>
              </w:rPr>
            </w:pPr>
            <w:r w:rsidRPr="00F22F33">
              <w:rPr>
                <w:rFonts w:ascii="Arial" w:hAnsi="Arial" w:cs="Arial"/>
                <w:bCs/>
                <w:color w:val="000000" w:themeColor="text1"/>
                <w:sz w:val="24"/>
                <w:szCs w:val="24"/>
              </w:rPr>
              <w:t xml:space="preserve">denominazione delle </w:t>
            </w:r>
            <w:proofErr w:type="gramStart"/>
            <w:r w:rsidRPr="00F22F33">
              <w:rPr>
                <w:rFonts w:ascii="Arial" w:hAnsi="Arial" w:cs="Arial"/>
                <w:bCs/>
                <w:color w:val="000000" w:themeColor="text1"/>
                <w:sz w:val="24"/>
                <w:szCs w:val="24"/>
              </w:rPr>
              <w:t>sotto-sezioni</w:t>
            </w:r>
            <w:proofErr w:type="gramEnd"/>
            <w:r w:rsidRPr="00F22F33">
              <w:rPr>
                <w:rFonts w:ascii="Arial" w:hAnsi="Arial" w:cs="Arial"/>
                <w:bCs/>
                <w:color w:val="000000" w:themeColor="text1"/>
                <w:sz w:val="24"/>
                <w:szCs w:val="24"/>
              </w:rPr>
              <w:t xml:space="preserve"> di secondo livello</w:t>
            </w:r>
          </w:p>
        </w:tc>
      </w:tr>
      <w:tr w:rsidR="00915B37" w:rsidRPr="00F22F33" w14:paraId="3D6543BB" w14:textId="77777777" w:rsidTr="00FE61FB">
        <w:tc>
          <w:tcPr>
            <w:tcW w:w="1168" w:type="dxa"/>
          </w:tcPr>
          <w:p w14:paraId="26FCBA83" w14:textId="77777777" w:rsidR="00915B37" w:rsidRPr="00F22F33" w:rsidRDefault="00915B37" w:rsidP="00FE61FB">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C</w:t>
            </w:r>
          </w:p>
        </w:tc>
        <w:tc>
          <w:tcPr>
            <w:tcW w:w="6408" w:type="dxa"/>
          </w:tcPr>
          <w:p w14:paraId="488BFC92" w14:textId="77777777" w:rsidR="00915B37" w:rsidRPr="00F22F33" w:rsidRDefault="00915B37" w:rsidP="00FE61FB">
            <w:pPr>
              <w:spacing w:before="120" w:after="0" w:line="240" w:lineRule="auto"/>
              <w:rPr>
                <w:rFonts w:ascii="Arial" w:hAnsi="Arial" w:cs="Arial"/>
                <w:bCs/>
                <w:color w:val="000000" w:themeColor="text1"/>
                <w:sz w:val="24"/>
                <w:szCs w:val="24"/>
              </w:rPr>
            </w:pPr>
            <w:r w:rsidRPr="00F22F33">
              <w:rPr>
                <w:rFonts w:ascii="Arial" w:hAnsi="Arial" w:cs="Arial"/>
                <w:bCs/>
                <w:color w:val="000000" w:themeColor="text1"/>
                <w:sz w:val="24"/>
                <w:szCs w:val="24"/>
              </w:rPr>
              <w:t>disposizioni normative che impongono la pubblicazione</w:t>
            </w:r>
          </w:p>
        </w:tc>
      </w:tr>
      <w:tr w:rsidR="00915B37" w:rsidRPr="00F22F33" w14:paraId="15753D8E" w14:textId="77777777" w:rsidTr="00FE61FB">
        <w:tc>
          <w:tcPr>
            <w:tcW w:w="1168" w:type="dxa"/>
          </w:tcPr>
          <w:p w14:paraId="70E43CD7" w14:textId="77777777" w:rsidR="00915B37" w:rsidRPr="00F22F33" w:rsidRDefault="00915B37" w:rsidP="00FE61FB">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D</w:t>
            </w:r>
          </w:p>
        </w:tc>
        <w:tc>
          <w:tcPr>
            <w:tcW w:w="6408" w:type="dxa"/>
          </w:tcPr>
          <w:p w14:paraId="7EFEF11F" w14:textId="77777777" w:rsidR="00915B37" w:rsidRPr="00F22F33" w:rsidRDefault="00915B37" w:rsidP="00FE61FB">
            <w:pPr>
              <w:spacing w:before="120" w:after="0" w:line="240" w:lineRule="auto"/>
              <w:rPr>
                <w:rFonts w:ascii="Arial" w:hAnsi="Arial" w:cs="Arial"/>
                <w:bCs/>
                <w:color w:val="000000" w:themeColor="text1"/>
                <w:sz w:val="24"/>
                <w:szCs w:val="24"/>
              </w:rPr>
            </w:pPr>
            <w:r w:rsidRPr="00F22F33">
              <w:rPr>
                <w:rFonts w:ascii="Arial" w:hAnsi="Arial" w:cs="Arial"/>
                <w:bCs/>
                <w:color w:val="000000" w:themeColor="text1"/>
                <w:sz w:val="24"/>
                <w:szCs w:val="24"/>
              </w:rPr>
              <w:t>denominazione del singolo obbligo di pubblicazione</w:t>
            </w:r>
          </w:p>
        </w:tc>
      </w:tr>
      <w:tr w:rsidR="00915B37" w:rsidRPr="00F22F33" w14:paraId="535DF7D3" w14:textId="77777777" w:rsidTr="00FE61FB">
        <w:tc>
          <w:tcPr>
            <w:tcW w:w="1168" w:type="dxa"/>
          </w:tcPr>
          <w:p w14:paraId="4DC73DD6" w14:textId="77777777" w:rsidR="00915B37" w:rsidRPr="00F22F33" w:rsidRDefault="00915B37" w:rsidP="00FE61FB">
            <w:pPr>
              <w:spacing w:before="120" w:after="0" w:line="240" w:lineRule="auto"/>
              <w:jc w:val="center"/>
              <w:rPr>
                <w:rFonts w:ascii="Arial" w:hAnsi="Arial" w:cs="Arial"/>
                <w:bCs/>
                <w:color w:val="000000" w:themeColor="text1"/>
                <w:sz w:val="24"/>
                <w:szCs w:val="24"/>
              </w:rPr>
            </w:pPr>
            <w:r w:rsidRPr="00F22F33">
              <w:rPr>
                <w:rFonts w:ascii="Arial" w:hAnsi="Arial" w:cs="Arial"/>
                <w:bCs/>
                <w:color w:val="000000" w:themeColor="text1"/>
                <w:sz w:val="24"/>
                <w:szCs w:val="24"/>
              </w:rPr>
              <w:t>E</w:t>
            </w:r>
          </w:p>
        </w:tc>
        <w:tc>
          <w:tcPr>
            <w:tcW w:w="6408" w:type="dxa"/>
          </w:tcPr>
          <w:p w14:paraId="6F9C1EFE" w14:textId="77777777" w:rsidR="00915B37" w:rsidRPr="00F22F33" w:rsidRDefault="00915B37" w:rsidP="00FE61FB">
            <w:pPr>
              <w:spacing w:before="120" w:after="0" w:line="240" w:lineRule="auto"/>
              <w:rPr>
                <w:rFonts w:ascii="Arial" w:hAnsi="Arial" w:cs="Arial"/>
                <w:bCs/>
                <w:color w:val="000000" w:themeColor="text1"/>
                <w:sz w:val="24"/>
                <w:szCs w:val="24"/>
              </w:rPr>
            </w:pPr>
            <w:r w:rsidRPr="00F22F33">
              <w:rPr>
                <w:rFonts w:ascii="Arial" w:hAnsi="Arial" w:cs="Arial"/>
                <w:bCs/>
                <w:color w:val="000000" w:themeColor="text1"/>
                <w:sz w:val="24"/>
                <w:szCs w:val="24"/>
              </w:rPr>
              <w:t xml:space="preserve">contenuti dell’obbligo (documenti, dati e informazioni da pubblicare in ciascuna </w:t>
            </w:r>
            <w:proofErr w:type="gramStart"/>
            <w:r w:rsidRPr="00F22F33">
              <w:rPr>
                <w:rFonts w:ascii="Arial" w:hAnsi="Arial" w:cs="Arial"/>
                <w:bCs/>
                <w:color w:val="000000" w:themeColor="text1"/>
                <w:sz w:val="24"/>
                <w:szCs w:val="24"/>
              </w:rPr>
              <w:t>sotto-sezione</w:t>
            </w:r>
            <w:proofErr w:type="gramEnd"/>
            <w:r w:rsidRPr="00F22F33">
              <w:rPr>
                <w:rFonts w:ascii="Arial" w:hAnsi="Arial" w:cs="Arial"/>
                <w:bCs/>
                <w:color w:val="000000" w:themeColor="text1"/>
                <w:sz w:val="24"/>
                <w:szCs w:val="24"/>
              </w:rPr>
              <w:t xml:space="preserve"> secondo le linee guida di ANAC);</w:t>
            </w:r>
          </w:p>
        </w:tc>
      </w:tr>
      <w:tr w:rsidR="00915B37" w:rsidRPr="00F22F33" w14:paraId="67C46985" w14:textId="77777777" w:rsidTr="00FE61FB">
        <w:tc>
          <w:tcPr>
            <w:tcW w:w="1168" w:type="dxa"/>
          </w:tcPr>
          <w:p w14:paraId="56F935BD" w14:textId="77777777" w:rsidR="00915B37" w:rsidRPr="00F22F33" w:rsidRDefault="00915B37" w:rsidP="00FE61FB">
            <w:pPr>
              <w:spacing w:before="120" w:after="0" w:line="240" w:lineRule="auto"/>
              <w:jc w:val="center"/>
              <w:rPr>
                <w:rFonts w:ascii="Arial" w:hAnsi="Arial" w:cs="Arial"/>
                <w:bCs/>
                <w:color w:val="FF0000"/>
                <w:sz w:val="24"/>
                <w:szCs w:val="24"/>
              </w:rPr>
            </w:pPr>
            <w:r w:rsidRPr="00F22F33">
              <w:rPr>
                <w:rFonts w:ascii="Arial" w:hAnsi="Arial" w:cs="Arial"/>
                <w:bCs/>
                <w:color w:val="FF0000"/>
                <w:sz w:val="24"/>
                <w:szCs w:val="24"/>
              </w:rPr>
              <w:t>F (*)</w:t>
            </w:r>
          </w:p>
        </w:tc>
        <w:tc>
          <w:tcPr>
            <w:tcW w:w="6408" w:type="dxa"/>
          </w:tcPr>
          <w:p w14:paraId="318F7691" w14:textId="77777777" w:rsidR="00915B37" w:rsidRPr="00F22F33" w:rsidRDefault="00915B37" w:rsidP="00FE61FB">
            <w:pPr>
              <w:spacing w:before="120" w:after="0" w:line="240" w:lineRule="auto"/>
              <w:rPr>
                <w:rFonts w:ascii="Arial" w:hAnsi="Arial" w:cs="Arial"/>
                <w:bCs/>
                <w:color w:val="FF0000"/>
                <w:sz w:val="24"/>
                <w:szCs w:val="24"/>
              </w:rPr>
            </w:pPr>
            <w:r w:rsidRPr="00F22F33">
              <w:rPr>
                <w:rFonts w:ascii="Arial" w:hAnsi="Arial" w:cs="Arial"/>
                <w:bCs/>
                <w:color w:val="FF0000"/>
                <w:sz w:val="24"/>
                <w:szCs w:val="24"/>
              </w:rPr>
              <w:t>periodicità di aggiornamento delle pubblicazioni;</w:t>
            </w:r>
          </w:p>
        </w:tc>
      </w:tr>
      <w:tr w:rsidR="00915B37" w:rsidRPr="00F22F33" w14:paraId="5D80FFEB" w14:textId="77777777" w:rsidTr="00FE61FB">
        <w:tc>
          <w:tcPr>
            <w:tcW w:w="1168" w:type="dxa"/>
          </w:tcPr>
          <w:p w14:paraId="75111324" w14:textId="77777777" w:rsidR="00915B37" w:rsidRPr="00F22F33" w:rsidRDefault="00915B37" w:rsidP="00FE61FB">
            <w:pPr>
              <w:spacing w:before="120" w:after="0" w:line="240" w:lineRule="auto"/>
              <w:jc w:val="center"/>
              <w:rPr>
                <w:rFonts w:ascii="Arial" w:hAnsi="Arial" w:cs="Arial"/>
                <w:bCs/>
                <w:color w:val="FF0000"/>
                <w:sz w:val="24"/>
                <w:szCs w:val="24"/>
              </w:rPr>
            </w:pPr>
            <w:r w:rsidRPr="00F22F33">
              <w:rPr>
                <w:rFonts w:ascii="Arial" w:hAnsi="Arial" w:cs="Arial"/>
                <w:bCs/>
                <w:color w:val="FF0000"/>
                <w:sz w:val="24"/>
                <w:szCs w:val="24"/>
              </w:rPr>
              <w:t>G (**)</w:t>
            </w:r>
          </w:p>
        </w:tc>
        <w:tc>
          <w:tcPr>
            <w:tcW w:w="6408" w:type="dxa"/>
          </w:tcPr>
          <w:p w14:paraId="2B1847A3" w14:textId="77777777" w:rsidR="00915B37" w:rsidRPr="00F22F33" w:rsidRDefault="00915B37" w:rsidP="00FE61FB">
            <w:pPr>
              <w:spacing w:before="120" w:after="0" w:line="240" w:lineRule="auto"/>
              <w:rPr>
                <w:rFonts w:ascii="Arial" w:hAnsi="Arial" w:cs="Arial"/>
                <w:bCs/>
                <w:color w:val="FF0000"/>
                <w:sz w:val="24"/>
                <w:szCs w:val="24"/>
              </w:rPr>
            </w:pPr>
            <w:r w:rsidRPr="00F22F33">
              <w:rPr>
                <w:rFonts w:ascii="Arial" w:hAnsi="Arial" w:cs="Arial"/>
                <w:bCs/>
                <w:color w:val="FF0000"/>
                <w:sz w:val="24"/>
                <w:szCs w:val="24"/>
              </w:rPr>
              <w:t>ufficio responsabile della pubblicazione dei dati, delle informazioni e dei documenti previsti nella colonna E secondo la periodicità prevista in colonna F.</w:t>
            </w:r>
          </w:p>
        </w:tc>
      </w:tr>
    </w:tbl>
    <w:p w14:paraId="38E6D40E" w14:textId="77777777" w:rsidR="00915B37" w:rsidRPr="00F22F33" w:rsidRDefault="00915B37" w:rsidP="00915B37">
      <w:pPr>
        <w:spacing w:before="120" w:after="0" w:line="240" w:lineRule="auto"/>
        <w:jc w:val="both"/>
        <w:rPr>
          <w:rFonts w:ascii="Arial" w:hAnsi="Arial" w:cs="Arial"/>
          <w:bCs/>
          <w:color w:val="000000" w:themeColor="text1"/>
          <w:sz w:val="24"/>
          <w:szCs w:val="24"/>
        </w:rPr>
      </w:pPr>
    </w:p>
    <w:p w14:paraId="46635AD1" w14:textId="77777777" w:rsidR="00893C0F" w:rsidRPr="00F22F33" w:rsidRDefault="00893C0F" w:rsidP="00893C0F">
      <w:pPr>
        <w:spacing w:before="120" w:after="0" w:line="240" w:lineRule="auto"/>
        <w:jc w:val="both"/>
        <w:rPr>
          <w:rFonts w:ascii="Arial" w:hAnsi="Arial" w:cs="Arial"/>
          <w:bCs/>
          <w:color w:val="000000" w:themeColor="text1"/>
          <w:sz w:val="24"/>
          <w:szCs w:val="24"/>
        </w:rPr>
      </w:pPr>
      <w:r w:rsidRPr="00F22F33">
        <w:rPr>
          <w:rFonts w:ascii="Arial" w:hAnsi="Arial" w:cs="Arial"/>
          <w:b/>
          <w:color w:val="000000" w:themeColor="text1"/>
          <w:sz w:val="24"/>
          <w:szCs w:val="24"/>
        </w:rPr>
        <w:t>(*) Nota ai dati della Colonna F</w:t>
      </w:r>
      <w:r w:rsidRPr="00F22F33">
        <w:rPr>
          <w:rFonts w:ascii="Arial" w:hAnsi="Arial" w:cs="Arial"/>
          <w:bCs/>
          <w:color w:val="000000" w:themeColor="text1"/>
          <w:sz w:val="24"/>
          <w:szCs w:val="24"/>
        </w:rPr>
        <w:t xml:space="preserve">: </w:t>
      </w:r>
    </w:p>
    <w:p w14:paraId="6C9FEC60" w14:textId="77777777" w:rsidR="00893C0F" w:rsidRPr="00F22F33" w:rsidRDefault="00893C0F" w:rsidP="00893C0F">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lastRenderedPageBreak/>
        <w:t xml:space="preserve">la normativa impone scadenze temporali diverse per l’aggiornamento delle diverse tipologie di informazioni e documenti. </w:t>
      </w:r>
    </w:p>
    <w:p w14:paraId="4E3C00A8" w14:textId="77777777" w:rsidR="00893C0F" w:rsidRPr="00F22F33" w:rsidRDefault="00893C0F" w:rsidP="00893C0F">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L’aggiornamento delle pagine web di “Amministrazione trasparente” può avvenire “tempestivamente”, oppure su base annuale, trimestrale o semestrale. </w:t>
      </w:r>
    </w:p>
    <w:p w14:paraId="6EF20884" w14:textId="77777777" w:rsidR="00893C0F" w:rsidRPr="00F22F33" w:rsidRDefault="00893C0F" w:rsidP="00893C0F">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L’aggiornamento di numerosi dati deve avvenire “tempestivamente”. Il legislatore, però, non ha specificato il concetto di tempestività, concetto relativo che può dar luogo a comportamenti anche molto difformi. </w:t>
      </w:r>
    </w:p>
    <w:p w14:paraId="7CA17A6A" w14:textId="77777777" w:rsidR="00893C0F" w:rsidRPr="00F22F33" w:rsidRDefault="00893C0F" w:rsidP="00893C0F">
      <w:pPr>
        <w:spacing w:before="120" w:after="0" w:line="240" w:lineRule="auto"/>
        <w:jc w:val="both"/>
        <w:rPr>
          <w:rFonts w:ascii="Arial" w:hAnsi="Arial" w:cs="Arial"/>
          <w:b/>
          <w:color w:val="000000" w:themeColor="text1"/>
          <w:sz w:val="24"/>
          <w:szCs w:val="24"/>
        </w:rPr>
      </w:pPr>
    </w:p>
    <w:p w14:paraId="59E225E0" w14:textId="77777777" w:rsidR="00893C0F" w:rsidRPr="00F22F33" w:rsidRDefault="00893C0F" w:rsidP="00893C0F">
      <w:pPr>
        <w:spacing w:before="120" w:after="0" w:line="240" w:lineRule="auto"/>
        <w:jc w:val="both"/>
        <w:rPr>
          <w:rFonts w:ascii="Arial" w:hAnsi="Arial" w:cs="Arial"/>
          <w:b/>
          <w:color w:val="000000" w:themeColor="text1"/>
          <w:sz w:val="24"/>
          <w:szCs w:val="24"/>
        </w:rPr>
      </w:pPr>
      <w:r w:rsidRPr="00F22F33">
        <w:rPr>
          <w:rFonts w:ascii="Arial" w:hAnsi="Arial" w:cs="Arial"/>
          <w:b/>
          <w:color w:val="000000" w:themeColor="text1"/>
          <w:sz w:val="24"/>
          <w:szCs w:val="24"/>
        </w:rPr>
        <w:t xml:space="preserve">(**) Nota ai dati della Colonna G: </w:t>
      </w:r>
    </w:p>
    <w:p w14:paraId="53D3D578" w14:textId="003FE62C" w:rsidR="00893C0F" w:rsidRPr="00F22F33" w:rsidRDefault="00893C0F" w:rsidP="00893C0F">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L'art. 43 comma 3 del d.lgs. 33/2013 prevede che “i dirigenti responsabili degli uffici dell’amministrazione garantiscano il tempestivo e regolare flusso delle informazioni da pubblicare ai fini del rispetto dei termini stabiliti dalla legge”. </w:t>
      </w:r>
    </w:p>
    <w:p w14:paraId="45D505B5" w14:textId="77777777" w:rsidR="00893C0F" w:rsidRPr="00F22F33" w:rsidRDefault="00893C0F" w:rsidP="00893C0F">
      <w:pPr>
        <w:spacing w:before="120" w:after="0" w:line="240" w:lineRule="auto"/>
        <w:jc w:val="both"/>
        <w:rPr>
          <w:rFonts w:ascii="Arial" w:hAnsi="Arial" w:cs="Arial"/>
          <w:bCs/>
          <w:color w:val="000000" w:themeColor="text1"/>
          <w:sz w:val="24"/>
          <w:szCs w:val="24"/>
        </w:rPr>
      </w:pPr>
    </w:p>
    <w:p w14:paraId="1848C294" w14:textId="65E8518F" w:rsidR="00893C0F" w:rsidRPr="00F22F33" w:rsidRDefault="00893C0F" w:rsidP="00893C0F">
      <w:pPr>
        <w:pStyle w:val="TitoloB"/>
        <w:keepNext/>
        <w:widowControl w:val="0"/>
        <w:spacing w:after="360" w:line="280" w:lineRule="exact"/>
        <w:ind w:right="0"/>
        <w:jc w:val="both"/>
        <w:outlineLvl w:val="1"/>
        <w:rPr>
          <w:color w:val="0F243E" w:themeColor="text2" w:themeShade="80"/>
          <w:sz w:val="24"/>
          <w:szCs w:val="24"/>
        </w:rPr>
      </w:pPr>
      <w:bookmarkStart w:id="152" w:name="_Toc131582834"/>
      <w:bookmarkStart w:id="153" w:name="_Toc131582943"/>
      <w:bookmarkStart w:id="154" w:name="_Toc131583562"/>
      <w:r w:rsidRPr="00F22F33">
        <w:rPr>
          <w:color w:val="0F243E" w:themeColor="text2" w:themeShade="80"/>
          <w:sz w:val="24"/>
          <w:szCs w:val="24"/>
        </w:rPr>
        <w:t xml:space="preserve">6.4 </w:t>
      </w:r>
      <w:r w:rsidR="00562824">
        <w:rPr>
          <w:color w:val="0F243E" w:themeColor="text2" w:themeShade="80"/>
          <w:sz w:val="24"/>
          <w:szCs w:val="24"/>
        </w:rPr>
        <w:t>Organizzazione dell’attività di p</w:t>
      </w:r>
      <w:r w:rsidRPr="00F22F33">
        <w:rPr>
          <w:color w:val="0F243E" w:themeColor="text2" w:themeShade="80"/>
          <w:sz w:val="24"/>
          <w:szCs w:val="24"/>
        </w:rPr>
        <w:t>ubblicazione</w:t>
      </w:r>
      <w:r w:rsidR="00562824">
        <w:rPr>
          <w:color w:val="0F243E" w:themeColor="text2" w:themeShade="80"/>
          <w:sz w:val="24"/>
          <w:szCs w:val="24"/>
        </w:rPr>
        <w:t xml:space="preserve"> </w:t>
      </w:r>
      <w:proofErr w:type="gramStart"/>
      <w:r w:rsidR="00562824">
        <w:rPr>
          <w:color w:val="0F243E" w:themeColor="text2" w:themeShade="80"/>
          <w:sz w:val="24"/>
          <w:szCs w:val="24"/>
        </w:rPr>
        <w:t xml:space="preserve">e </w:t>
      </w:r>
      <w:r w:rsidRPr="00F22F33">
        <w:rPr>
          <w:color w:val="0F243E" w:themeColor="text2" w:themeShade="80"/>
          <w:sz w:val="24"/>
          <w:szCs w:val="24"/>
        </w:rPr>
        <w:t xml:space="preserve"> di</w:t>
      </w:r>
      <w:proofErr w:type="gramEnd"/>
      <w:r w:rsidR="00562824">
        <w:rPr>
          <w:color w:val="0F243E" w:themeColor="text2" w:themeShade="80"/>
          <w:sz w:val="24"/>
          <w:szCs w:val="24"/>
        </w:rPr>
        <w:t xml:space="preserve"> ulteriori</w:t>
      </w:r>
      <w:r w:rsidRPr="00F22F33">
        <w:rPr>
          <w:color w:val="0F243E" w:themeColor="text2" w:themeShade="80"/>
          <w:sz w:val="24"/>
          <w:szCs w:val="24"/>
        </w:rPr>
        <w:t xml:space="preserve"> dati</w:t>
      </w:r>
      <w:bookmarkEnd w:id="152"/>
      <w:bookmarkEnd w:id="153"/>
      <w:bookmarkEnd w:id="154"/>
      <w:r w:rsidRPr="00F22F33">
        <w:rPr>
          <w:color w:val="0F243E" w:themeColor="text2" w:themeShade="80"/>
          <w:sz w:val="24"/>
          <w:szCs w:val="24"/>
        </w:rPr>
        <w:t xml:space="preserve"> </w:t>
      </w:r>
    </w:p>
    <w:p w14:paraId="3A5D68BB" w14:textId="77777777" w:rsidR="00893C0F" w:rsidRPr="00F22F33" w:rsidRDefault="00893C0F" w:rsidP="00893C0F">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 La pubblicazione puntuale e tempestiva dei dati e delle informazioni elencate dal legislatore è più che sufficiente per assicurare la trasparenza dell’azione amministrativa di questo ente.  </w:t>
      </w:r>
    </w:p>
    <w:p w14:paraId="2C8793EB" w14:textId="77777777" w:rsidR="00893C0F" w:rsidRPr="00F22F33" w:rsidRDefault="00893C0F" w:rsidP="00893C0F">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Pertanto, non è prevista la pubblicazione di ulteriori informazioni. </w:t>
      </w:r>
    </w:p>
    <w:p w14:paraId="68426ADF" w14:textId="77777777" w:rsidR="00893C0F" w:rsidRPr="00F22F33" w:rsidRDefault="00893C0F" w:rsidP="00893C0F">
      <w:pPr>
        <w:spacing w:before="120" w:after="0" w:line="240" w:lineRule="auto"/>
        <w:jc w:val="both"/>
        <w:rPr>
          <w:rFonts w:ascii="Arial" w:hAnsi="Arial" w:cs="Arial"/>
          <w:bCs/>
          <w:color w:val="000000" w:themeColor="text1"/>
          <w:sz w:val="24"/>
          <w:szCs w:val="24"/>
        </w:rPr>
      </w:pPr>
      <w:r w:rsidRPr="00F22F33">
        <w:rPr>
          <w:rFonts w:ascii="Arial" w:hAnsi="Arial" w:cs="Arial"/>
          <w:bCs/>
          <w:color w:val="000000" w:themeColor="text1"/>
          <w:sz w:val="24"/>
          <w:szCs w:val="24"/>
        </w:rPr>
        <w:t xml:space="preserve">In ogni caso, i dirigenti Responsabili dei settori/uffici indicati nella colonna G, possono pubblicare i dati e le informazioni che ritengono necessari per assicurare la migliore trasparenza sostanziale dell’azione amministrativa. </w:t>
      </w:r>
    </w:p>
    <w:p w14:paraId="385D4374" w14:textId="77777777" w:rsidR="00893C0F" w:rsidRPr="00F22F33" w:rsidRDefault="00893C0F" w:rsidP="00893C0F">
      <w:pPr>
        <w:pStyle w:val="Corpotesto"/>
        <w:spacing w:before="120"/>
        <w:jc w:val="both"/>
        <w:rPr>
          <w:b/>
          <w:bCs/>
          <w:sz w:val="24"/>
        </w:rPr>
      </w:pPr>
    </w:p>
    <w:p w14:paraId="6CF179A7" w14:textId="748F5CE1" w:rsidR="00893C0F" w:rsidRPr="00F22F33" w:rsidRDefault="00F22F33" w:rsidP="00893C0F">
      <w:pPr>
        <w:pStyle w:val="TitoloB"/>
        <w:keepNext/>
        <w:widowControl w:val="0"/>
        <w:spacing w:after="360" w:line="280" w:lineRule="exact"/>
        <w:ind w:left="360" w:right="0"/>
        <w:jc w:val="both"/>
        <w:outlineLvl w:val="1"/>
        <w:rPr>
          <w:sz w:val="24"/>
          <w:szCs w:val="24"/>
        </w:rPr>
      </w:pPr>
      <w:bookmarkStart w:id="155" w:name="_Toc131582835"/>
      <w:bookmarkStart w:id="156" w:name="_Toc131582944"/>
      <w:bookmarkStart w:id="157" w:name="_Toc131583563"/>
      <w:r w:rsidRPr="00F22F33">
        <w:rPr>
          <w:sz w:val="24"/>
          <w:szCs w:val="24"/>
        </w:rPr>
        <w:t>7</w:t>
      </w:r>
      <w:r w:rsidR="00893C0F" w:rsidRPr="00F22F33">
        <w:rPr>
          <w:sz w:val="24"/>
          <w:szCs w:val="24"/>
        </w:rPr>
        <w:t xml:space="preserve"> Monitoraggio sull'attuazione del PTPC</w:t>
      </w:r>
      <w:bookmarkEnd w:id="155"/>
      <w:bookmarkEnd w:id="156"/>
      <w:bookmarkEnd w:id="157"/>
    </w:p>
    <w:p w14:paraId="2B003FCC" w14:textId="1B12C9B9" w:rsidR="002E20B6" w:rsidRPr="00F22F33" w:rsidRDefault="00893C0F" w:rsidP="00993717">
      <w:pPr>
        <w:pStyle w:val="Corpotesto"/>
        <w:spacing w:before="120"/>
        <w:jc w:val="both"/>
        <w:rPr>
          <w:color w:val="FF0000"/>
          <w:sz w:val="24"/>
        </w:rPr>
      </w:pPr>
      <w:r w:rsidRPr="00F22F33">
        <w:rPr>
          <w:b/>
          <w:bCs/>
          <w:color w:val="000000" w:themeColor="text1"/>
          <w:sz w:val="24"/>
        </w:rPr>
        <w:t xml:space="preserve"> </w:t>
      </w:r>
      <w:r w:rsidRPr="00F22F33">
        <w:rPr>
          <w:color w:val="000000" w:themeColor="text1"/>
          <w:sz w:val="24"/>
        </w:rPr>
        <w:t xml:space="preserve">Il monitoraggio circa l’applicazione del presente PTPC è svolto dal Responsabile della prevenzione della corruzione con la collaborazione dei responsabili e </w:t>
      </w:r>
      <w:proofErr w:type="gramStart"/>
      <w:r w:rsidRPr="00F22F33">
        <w:rPr>
          <w:color w:val="000000" w:themeColor="text1"/>
          <w:sz w:val="24"/>
        </w:rPr>
        <w:t>fornendo  ogni</w:t>
      </w:r>
      <w:proofErr w:type="gramEnd"/>
      <w:r w:rsidRPr="00F22F33">
        <w:rPr>
          <w:color w:val="000000" w:themeColor="text1"/>
          <w:sz w:val="24"/>
        </w:rPr>
        <w:t xml:space="preserve"> informazione che lo stesso ritenga utile.</w:t>
      </w:r>
      <w:r w:rsidRPr="00F22F33">
        <w:rPr>
          <w:color w:val="FF0000"/>
          <w:sz w:val="24"/>
        </w:rPr>
        <w:t xml:space="preserve">  </w:t>
      </w:r>
    </w:p>
    <w:sectPr w:rsidR="002E20B6" w:rsidRPr="00F22F33" w:rsidSect="00E8462D">
      <w:footerReference w:type="default" r:id="rId10"/>
      <w:pgSz w:w="11906" w:h="16838"/>
      <w:pgMar w:top="1701" w:right="1985" w:bottom="1701" w:left="1985"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41A4" w14:textId="77777777" w:rsidR="008450E1" w:rsidRDefault="008450E1" w:rsidP="00DE0D4E">
      <w:pPr>
        <w:spacing w:after="0" w:line="240" w:lineRule="auto"/>
      </w:pPr>
      <w:r>
        <w:separator/>
      </w:r>
    </w:p>
  </w:endnote>
  <w:endnote w:type="continuationSeparator" w:id="0">
    <w:p w14:paraId="268C1D3F" w14:textId="77777777" w:rsidR="008450E1" w:rsidRDefault="008450E1" w:rsidP="00DE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6849"/>
      <w:docPartObj>
        <w:docPartGallery w:val="Page Numbers (Bottom of Page)"/>
        <w:docPartUnique/>
      </w:docPartObj>
    </w:sdtPr>
    <w:sdtEndPr/>
    <w:sdtContent>
      <w:p w14:paraId="199DD8C3" w14:textId="0C9FF78C" w:rsidR="008450E1" w:rsidRDefault="008450E1">
        <w:pPr>
          <w:pStyle w:val="Pidipagina"/>
          <w:jc w:val="right"/>
        </w:pPr>
        <w:r>
          <w:fldChar w:fldCharType="begin"/>
        </w:r>
        <w:r>
          <w:instrText>PAGE   \* MERGEFORMAT</w:instrText>
        </w:r>
        <w:r>
          <w:fldChar w:fldCharType="separate"/>
        </w:r>
        <w:r w:rsidR="005F5F24">
          <w:rPr>
            <w:noProof/>
          </w:rPr>
          <w:t>23</w:t>
        </w:r>
        <w:r>
          <w:fldChar w:fldCharType="end"/>
        </w:r>
      </w:p>
    </w:sdtContent>
  </w:sdt>
  <w:p w14:paraId="57917459" w14:textId="77777777" w:rsidR="008450E1" w:rsidRDefault="008450E1">
    <w:pPr>
      <w:pStyle w:val="Pidipagina"/>
    </w:pPr>
  </w:p>
  <w:p w14:paraId="5D9CE2CC" w14:textId="77777777" w:rsidR="008450E1" w:rsidRDefault="008450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5EC2" w14:textId="77777777" w:rsidR="008450E1" w:rsidRDefault="008450E1" w:rsidP="00DE0D4E">
      <w:pPr>
        <w:spacing w:after="0" w:line="240" w:lineRule="auto"/>
      </w:pPr>
      <w:r>
        <w:separator/>
      </w:r>
    </w:p>
  </w:footnote>
  <w:footnote w:type="continuationSeparator" w:id="0">
    <w:p w14:paraId="07888101" w14:textId="77777777" w:rsidR="008450E1" w:rsidRDefault="008450E1" w:rsidP="00DE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578"/>
    <w:multiLevelType w:val="hybridMultilevel"/>
    <w:tmpl w:val="4F6C74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65E53"/>
    <w:multiLevelType w:val="hybridMultilevel"/>
    <w:tmpl w:val="A7F4B8C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9A112ED"/>
    <w:multiLevelType w:val="hybridMultilevel"/>
    <w:tmpl w:val="D3ACE4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3E6492"/>
    <w:multiLevelType w:val="hybridMultilevel"/>
    <w:tmpl w:val="AE9C41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3D7CBE"/>
    <w:multiLevelType w:val="multilevel"/>
    <w:tmpl w:val="A11656E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5426B5"/>
    <w:multiLevelType w:val="multilevel"/>
    <w:tmpl w:val="8786A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C45511"/>
    <w:multiLevelType w:val="hybridMultilevel"/>
    <w:tmpl w:val="05469F76"/>
    <w:lvl w:ilvl="0" w:tplc="3C169192">
      <w:start w:val="1"/>
      <w:numFmt w:val="decimal"/>
      <w:lvlText w:val="%1."/>
      <w:lvlJc w:val="left"/>
      <w:pPr>
        <w:tabs>
          <w:tab w:val="num" w:pos="284"/>
        </w:tabs>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A314C"/>
    <w:multiLevelType w:val="hybridMultilevel"/>
    <w:tmpl w:val="75C0DCE0"/>
    <w:lvl w:ilvl="0" w:tplc="04100001">
      <w:start w:val="1"/>
      <w:numFmt w:val="bullet"/>
      <w:lvlText w:val=""/>
      <w:lvlJc w:val="left"/>
      <w:pPr>
        <w:ind w:left="720" w:hanging="360"/>
      </w:pPr>
      <w:rPr>
        <w:rFonts w:ascii="Symbol" w:hAnsi="Symbol" w:hint="default"/>
      </w:rPr>
    </w:lvl>
    <w:lvl w:ilvl="1" w:tplc="1BC2426C">
      <w:start w:val="1"/>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776846"/>
    <w:multiLevelType w:val="hybridMultilevel"/>
    <w:tmpl w:val="3B327DB0"/>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F4A209B"/>
    <w:multiLevelType w:val="hybridMultilevel"/>
    <w:tmpl w:val="2E26C1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28D29BF"/>
    <w:multiLevelType w:val="multilevel"/>
    <w:tmpl w:val="EF24C012"/>
    <w:lvl w:ilvl="0">
      <w:start w:val="5"/>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9D4559C"/>
    <w:multiLevelType w:val="hybridMultilevel"/>
    <w:tmpl w:val="EB0E02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650F7D"/>
    <w:multiLevelType w:val="hybridMultilevel"/>
    <w:tmpl w:val="77BA79C4"/>
    <w:lvl w:ilvl="0" w:tplc="561CE5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233630"/>
    <w:multiLevelType w:val="hybridMultilevel"/>
    <w:tmpl w:val="3650F33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74A58B4"/>
    <w:multiLevelType w:val="hybridMultilevel"/>
    <w:tmpl w:val="9726F2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F977CE"/>
    <w:multiLevelType w:val="multilevel"/>
    <w:tmpl w:val="D9E24146"/>
    <w:lvl w:ilvl="0">
      <w:start w:val="1"/>
      <w:numFmt w:val="decimal"/>
      <w:lvlText w:val="%1."/>
      <w:lvlJc w:val="left"/>
      <w:pPr>
        <w:ind w:left="36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15:restartNumberingAfterBreak="0">
    <w:nsid w:val="3E091238"/>
    <w:multiLevelType w:val="hybridMultilevel"/>
    <w:tmpl w:val="58C6289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F3FFE"/>
    <w:multiLevelType w:val="hybridMultilevel"/>
    <w:tmpl w:val="572CAF2C"/>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5EF12E3"/>
    <w:multiLevelType w:val="hybridMultilevel"/>
    <w:tmpl w:val="88A819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6101DE8"/>
    <w:multiLevelType w:val="hybridMultilevel"/>
    <w:tmpl w:val="007C04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B123105"/>
    <w:multiLevelType w:val="hybridMultilevel"/>
    <w:tmpl w:val="866E999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CEF3443"/>
    <w:multiLevelType w:val="hybridMultilevel"/>
    <w:tmpl w:val="68E6977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DFF7DA6"/>
    <w:multiLevelType w:val="multilevel"/>
    <w:tmpl w:val="8786A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EEE55C5"/>
    <w:multiLevelType w:val="hybridMultilevel"/>
    <w:tmpl w:val="370AE6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FAC4A0C"/>
    <w:multiLevelType w:val="multilevel"/>
    <w:tmpl w:val="EFE0120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A7639EE"/>
    <w:multiLevelType w:val="hybridMultilevel"/>
    <w:tmpl w:val="0628824C"/>
    <w:lvl w:ilvl="0" w:tplc="AC18BB38">
      <w:start w:val="1"/>
      <w:numFmt w:val="decimal"/>
      <w:lvlText w:val="%1."/>
      <w:lvlJc w:val="left"/>
      <w:pPr>
        <w:tabs>
          <w:tab w:val="num" w:pos="284"/>
        </w:tabs>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BA47258"/>
    <w:multiLevelType w:val="multilevel"/>
    <w:tmpl w:val="D138E6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E372573"/>
    <w:multiLevelType w:val="hybridMultilevel"/>
    <w:tmpl w:val="C88EA5B6"/>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0D557E"/>
    <w:multiLevelType w:val="hybridMultilevel"/>
    <w:tmpl w:val="0DD62958"/>
    <w:lvl w:ilvl="0" w:tplc="8F682994">
      <w:start w:val="1"/>
      <w:numFmt w:val="lowerLetter"/>
      <w:lvlText w:val="%1)"/>
      <w:lvlJc w:val="left"/>
      <w:pPr>
        <w:ind w:left="360" w:hanging="360"/>
      </w:pPr>
      <w:rPr>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77295D"/>
    <w:multiLevelType w:val="hybridMultilevel"/>
    <w:tmpl w:val="177E7B7E"/>
    <w:lvl w:ilvl="0" w:tplc="561CE52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4780EDF"/>
    <w:multiLevelType w:val="hybridMultilevel"/>
    <w:tmpl w:val="783C088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4FB44B5"/>
    <w:multiLevelType w:val="hybridMultilevel"/>
    <w:tmpl w:val="418C09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58A3E11"/>
    <w:multiLevelType w:val="multilevel"/>
    <w:tmpl w:val="F5BA6410"/>
    <w:lvl w:ilvl="0">
      <w:start w:val="4"/>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A3B21D0"/>
    <w:multiLevelType w:val="hybridMultilevel"/>
    <w:tmpl w:val="4A5CF9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38052A2"/>
    <w:multiLevelType w:val="multilevel"/>
    <w:tmpl w:val="BDAC11A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721D70"/>
    <w:multiLevelType w:val="multilevel"/>
    <w:tmpl w:val="08B0BF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8040B94"/>
    <w:multiLevelType w:val="hybridMultilevel"/>
    <w:tmpl w:val="B3EA89A0"/>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7A4A4526"/>
    <w:multiLevelType w:val="multilevel"/>
    <w:tmpl w:val="D9E24146"/>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8" w15:restartNumberingAfterBreak="0">
    <w:nsid w:val="7A585B02"/>
    <w:multiLevelType w:val="hybridMultilevel"/>
    <w:tmpl w:val="402AEC58"/>
    <w:lvl w:ilvl="0" w:tplc="AF500A6A">
      <w:start w:val="1"/>
      <w:numFmt w:val="decimal"/>
      <w:lvlText w:val="%1."/>
      <w:lvlJc w:val="left"/>
      <w:pPr>
        <w:ind w:left="360" w:hanging="360"/>
      </w:pPr>
      <w:rPr>
        <w:rFonts w:ascii="Book Antiqua" w:hAnsi="Book Antiqua" w:cs="Arial MT" w:hint="default"/>
        <w:spacing w:val="-1"/>
        <w:w w:val="100"/>
        <w:sz w:val="18"/>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BAB2552"/>
    <w:multiLevelType w:val="hybridMultilevel"/>
    <w:tmpl w:val="F56CD4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C75956"/>
    <w:multiLevelType w:val="hybridMultilevel"/>
    <w:tmpl w:val="E11EB610"/>
    <w:lvl w:ilvl="0" w:tplc="1CC87FD0">
      <w:start w:val="1"/>
      <w:numFmt w:val="decimal"/>
      <w:lvlText w:val="%1."/>
      <w:lvlJc w:val="left"/>
      <w:pPr>
        <w:tabs>
          <w:tab w:val="num" w:pos="284"/>
        </w:tabs>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46665918">
    <w:abstractNumId w:val="14"/>
  </w:num>
  <w:num w:numId="2" w16cid:durableId="2048946748">
    <w:abstractNumId w:val="24"/>
  </w:num>
  <w:num w:numId="3" w16cid:durableId="747381184">
    <w:abstractNumId w:val="39"/>
  </w:num>
  <w:num w:numId="4" w16cid:durableId="1334334804">
    <w:abstractNumId w:val="19"/>
  </w:num>
  <w:num w:numId="5" w16cid:durableId="72553122">
    <w:abstractNumId w:val="22"/>
  </w:num>
  <w:num w:numId="6" w16cid:durableId="581180307">
    <w:abstractNumId w:val="12"/>
  </w:num>
  <w:num w:numId="7" w16cid:durableId="823157844">
    <w:abstractNumId w:val="23"/>
  </w:num>
  <w:num w:numId="8" w16cid:durableId="574820005">
    <w:abstractNumId w:val="15"/>
  </w:num>
  <w:num w:numId="9" w16cid:durableId="1443107140">
    <w:abstractNumId w:val="21"/>
  </w:num>
  <w:num w:numId="10" w16cid:durableId="580215052">
    <w:abstractNumId w:val="29"/>
  </w:num>
  <w:num w:numId="11" w16cid:durableId="83503740">
    <w:abstractNumId w:val="1"/>
  </w:num>
  <w:num w:numId="12" w16cid:durableId="477696932">
    <w:abstractNumId w:val="40"/>
  </w:num>
  <w:num w:numId="13" w16cid:durableId="421924774">
    <w:abstractNumId w:val="6"/>
  </w:num>
  <w:num w:numId="14" w16cid:durableId="453519332">
    <w:abstractNumId w:val="25"/>
  </w:num>
  <w:num w:numId="15" w16cid:durableId="997349175">
    <w:abstractNumId w:val="31"/>
  </w:num>
  <w:num w:numId="16" w16cid:durableId="1087968125">
    <w:abstractNumId w:val="20"/>
  </w:num>
  <w:num w:numId="17" w16cid:durableId="1296639332">
    <w:abstractNumId w:val="9"/>
  </w:num>
  <w:num w:numId="18" w16cid:durableId="510223915">
    <w:abstractNumId w:val="18"/>
  </w:num>
  <w:num w:numId="19" w16cid:durableId="2102481459">
    <w:abstractNumId w:val="16"/>
  </w:num>
  <w:num w:numId="20" w16cid:durableId="1010135105">
    <w:abstractNumId w:val="2"/>
  </w:num>
  <w:num w:numId="21" w16cid:durableId="659895011">
    <w:abstractNumId w:val="7"/>
  </w:num>
  <w:num w:numId="22" w16cid:durableId="909115578">
    <w:abstractNumId w:val="0"/>
  </w:num>
  <w:num w:numId="23" w16cid:durableId="2090540545">
    <w:abstractNumId w:val="33"/>
  </w:num>
  <w:num w:numId="24" w16cid:durableId="2048328783">
    <w:abstractNumId w:val="26"/>
  </w:num>
  <w:num w:numId="25" w16cid:durableId="951782231">
    <w:abstractNumId w:val="5"/>
  </w:num>
  <w:num w:numId="26" w16cid:durableId="826701171">
    <w:abstractNumId w:val="8"/>
  </w:num>
  <w:num w:numId="27" w16cid:durableId="372926784">
    <w:abstractNumId w:val="27"/>
  </w:num>
  <w:num w:numId="28" w16cid:durableId="65883909">
    <w:abstractNumId w:val="30"/>
  </w:num>
  <w:num w:numId="29" w16cid:durableId="1953391779">
    <w:abstractNumId w:val="13"/>
  </w:num>
  <w:num w:numId="30" w16cid:durableId="458299843">
    <w:abstractNumId w:val="38"/>
  </w:num>
  <w:num w:numId="31" w16cid:durableId="14775401">
    <w:abstractNumId w:val="36"/>
  </w:num>
  <w:num w:numId="32" w16cid:durableId="681662646">
    <w:abstractNumId w:val="28"/>
  </w:num>
  <w:num w:numId="33" w16cid:durableId="252126697">
    <w:abstractNumId w:val="10"/>
  </w:num>
  <w:num w:numId="34" w16cid:durableId="518737507">
    <w:abstractNumId w:val="17"/>
  </w:num>
  <w:num w:numId="35" w16cid:durableId="857742157">
    <w:abstractNumId w:val="35"/>
  </w:num>
  <w:num w:numId="36" w16cid:durableId="1967588191">
    <w:abstractNumId w:val="34"/>
  </w:num>
  <w:num w:numId="37" w16cid:durableId="730884652">
    <w:abstractNumId w:val="4"/>
  </w:num>
  <w:num w:numId="38" w16cid:durableId="1506171501">
    <w:abstractNumId w:val="32"/>
  </w:num>
  <w:num w:numId="39" w16cid:durableId="2080133459">
    <w:abstractNumId w:val="37"/>
  </w:num>
  <w:num w:numId="40" w16cid:durableId="1516462348">
    <w:abstractNumId w:val="3"/>
  </w:num>
  <w:num w:numId="41" w16cid:durableId="97264054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3B"/>
    <w:rsid w:val="00003A85"/>
    <w:rsid w:val="00005F0E"/>
    <w:rsid w:val="00011730"/>
    <w:rsid w:val="00012DF4"/>
    <w:rsid w:val="00016558"/>
    <w:rsid w:val="000173A5"/>
    <w:rsid w:val="000202CA"/>
    <w:rsid w:val="00020340"/>
    <w:rsid w:val="000213D3"/>
    <w:rsid w:val="00021C7D"/>
    <w:rsid w:val="0002414F"/>
    <w:rsid w:val="000344CD"/>
    <w:rsid w:val="0003541D"/>
    <w:rsid w:val="00035FBA"/>
    <w:rsid w:val="00036C56"/>
    <w:rsid w:val="00040BF8"/>
    <w:rsid w:val="00040EBB"/>
    <w:rsid w:val="00041FE7"/>
    <w:rsid w:val="00043BCD"/>
    <w:rsid w:val="000465C1"/>
    <w:rsid w:val="00051965"/>
    <w:rsid w:val="00052A4E"/>
    <w:rsid w:val="000577E2"/>
    <w:rsid w:val="00060246"/>
    <w:rsid w:val="000624F8"/>
    <w:rsid w:val="0006522C"/>
    <w:rsid w:val="000726FD"/>
    <w:rsid w:val="00072984"/>
    <w:rsid w:val="00074EE7"/>
    <w:rsid w:val="00075D56"/>
    <w:rsid w:val="0007631F"/>
    <w:rsid w:val="000839B1"/>
    <w:rsid w:val="0008573B"/>
    <w:rsid w:val="00094ADF"/>
    <w:rsid w:val="00095B67"/>
    <w:rsid w:val="00096618"/>
    <w:rsid w:val="000968BB"/>
    <w:rsid w:val="00096F5D"/>
    <w:rsid w:val="00097734"/>
    <w:rsid w:val="00097F83"/>
    <w:rsid w:val="000A0AC9"/>
    <w:rsid w:val="000A3026"/>
    <w:rsid w:val="000A475D"/>
    <w:rsid w:val="000A5463"/>
    <w:rsid w:val="000A6B9A"/>
    <w:rsid w:val="000B2DD1"/>
    <w:rsid w:val="000C365E"/>
    <w:rsid w:val="000C653F"/>
    <w:rsid w:val="000D50E5"/>
    <w:rsid w:val="000D6633"/>
    <w:rsid w:val="000E02AA"/>
    <w:rsid w:val="000E10B2"/>
    <w:rsid w:val="000E2723"/>
    <w:rsid w:val="000E6873"/>
    <w:rsid w:val="000E691A"/>
    <w:rsid w:val="000F055E"/>
    <w:rsid w:val="000F07E1"/>
    <w:rsid w:val="000F4A82"/>
    <w:rsid w:val="000F5E9D"/>
    <w:rsid w:val="0010701B"/>
    <w:rsid w:val="00107B90"/>
    <w:rsid w:val="00110D93"/>
    <w:rsid w:val="001123B2"/>
    <w:rsid w:val="001129B2"/>
    <w:rsid w:val="0011551B"/>
    <w:rsid w:val="0011663D"/>
    <w:rsid w:val="001167B1"/>
    <w:rsid w:val="00120155"/>
    <w:rsid w:val="0012044B"/>
    <w:rsid w:val="0012208E"/>
    <w:rsid w:val="0012501F"/>
    <w:rsid w:val="00130135"/>
    <w:rsid w:val="00130499"/>
    <w:rsid w:val="00130ED8"/>
    <w:rsid w:val="00136D7D"/>
    <w:rsid w:val="00140C7F"/>
    <w:rsid w:val="00141B76"/>
    <w:rsid w:val="0014209A"/>
    <w:rsid w:val="001525E6"/>
    <w:rsid w:val="00154C2B"/>
    <w:rsid w:val="00161E6A"/>
    <w:rsid w:val="00166EDE"/>
    <w:rsid w:val="00174FE7"/>
    <w:rsid w:val="001769A1"/>
    <w:rsid w:val="001769CB"/>
    <w:rsid w:val="0018164F"/>
    <w:rsid w:val="00181927"/>
    <w:rsid w:val="00182924"/>
    <w:rsid w:val="001843DD"/>
    <w:rsid w:val="001854E9"/>
    <w:rsid w:val="00186530"/>
    <w:rsid w:val="00190D07"/>
    <w:rsid w:val="00195A9A"/>
    <w:rsid w:val="0019731A"/>
    <w:rsid w:val="001A190F"/>
    <w:rsid w:val="001A1CF6"/>
    <w:rsid w:val="001A2E0E"/>
    <w:rsid w:val="001A5F0A"/>
    <w:rsid w:val="001A6B4D"/>
    <w:rsid w:val="001B2018"/>
    <w:rsid w:val="001B278E"/>
    <w:rsid w:val="001B37AE"/>
    <w:rsid w:val="001B4627"/>
    <w:rsid w:val="001B664E"/>
    <w:rsid w:val="001B6E07"/>
    <w:rsid w:val="001B795B"/>
    <w:rsid w:val="001C418B"/>
    <w:rsid w:val="001C46DA"/>
    <w:rsid w:val="001C4F23"/>
    <w:rsid w:val="001C516E"/>
    <w:rsid w:val="001C553D"/>
    <w:rsid w:val="001C5CF2"/>
    <w:rsid w:val="001C6327"/>
    <w:rsid w:val="001C70A1"/>
    <w:rsid w:val="001D3815"/>
    <w:rsid w:val="001D3A61"/>
    <w:rsid w:val="001D548D"/>
    <w:rsid w:val="001D58CB"/>
    <w:rsid w:val="001D5D79"/>
    <w:rsid w:val="001D60E5"/>
    <w:rsid w:val="001D6F11"/>
    <w:rsid w:val="001D7289"/>
    <w:rsid w:val="001E1DD1"/>
    <w:rsid w:val="001E24C9"/>
    <w:rsid w:val="001F1D7D"/>
    <w:rsid w:val="001F44D7"/>
    <w:rsid w:val="001F4F18"/>
    <w:rsid w:val="001F563D"/>
    <w:rsid w:val="001F5D93"/>
    <w:rsid w:val="001F6114"/>
    <w:rsid w:val="001F62B2"/>
    <w:rsid w:val="001F66A8"/>
    <w:rsid w:val="001F68AF"/>
    <w:rsid w:val="001F73D6"/>
    <w:rsid w:val="00200E07"/>
    <w:rsid w:val="0020336F"/>
    <w:rsid w:val="002048EA"/>
    <w:rsid w:val="00206AA7"/>
    <w:rsid w:val="00212D09"/>
    <w:rsid w:val="00215871"/>
    <w:rsid w:val="00216D88"/>
    <w:rsid w:val="0022302C"/>
    <w:rsid w:val="0022400B"/>
    <w:rsid w:val="00224B8D"/>
    <w:rsid w:val="00225AB9"/>
    <w:rsid w:val="002279AF"/>
    <w:rsid w:val="00231B96"/>
    <w:rsid w:val="00232985"/>
    <w:rsid w:val="002338D5"/>
    <w:rsid w:val="00234795"/>
    <w:rsid w:val="002403BB"/>
    <w:rsid w:val="00240E8F"/>
    <w:rsid w:val="002429CB"/>
    <w:rsid w:val="002457D2"/>
    <w:rsid w:val="00246071"/>
    <w:rsid w:val="002505A2"/>
    <w:rsid w:val="00254B41"/>
    <w:rsid w:val="002613D8"/>
    <w:rsid w:val="002616F6"/>
    <w:rsid w:val="00266DED"/>
    <w:rsid w:val="002704B7"/>
    <w:rsid w:val="00271509"/>
    <w:rsid w:val="00273F6E"/>
    <w:rsid w:val="002774E0"/>
    <w:rsid w:val="00280421"/>
    <w:rsid w:val="0028261C"/>
    <w:rsid w:val="00282B37"/>
    <w:rsid w:val="002838EE"/>
    <w:rsid w:val="002850FE"/>
    <w:rsid w:val="002877B9"/>
    <w:rsid w:val="00291F3F"/>
    <w:rsid w:val="00293B3A"/>
    <w:rsid w:val="00293E68"/>
    <w:rsid w:val="002A1EF6"/>
    <w:rsid w:val="002A366C"/>
    <w:rsid w:val="002A67BB"/>
    <w:rsid w:val="002B4A8D"/>
    <w:rsid w:val="002B59E2"/>
    <w:rsid w:val="002B6789"/>
    <w:rsid w:val="002C0FF1"/>
    <w:rsid w:val="002C1648"/>
    <w:rsid w:val="002C211B"/>
    <w:rsid w:val="002C3A80"/>
    <w:rsid w:val="002C3E31"/>
    <w:rsid w:val="002C450B"/>
    <w:rsid w:val="002C4912"/>
    <w:rsid w:val="002C5706"/>
    <w:rsid w:val="002C6DA1"/>
    <w:rsid w:val="002D12B2"/>
    <w:rsid w:val="002E20B6"/>
    <w:rsid w:val="002F31E4"/>
    <w:rsid w:val="002F50F5"/>
    <w:rsid w:val="00300822"/>
    <w:rsid w:val="003046DF"/>
    <w:rsid w:val="00306B11"/>
    <w:rsid w:val="0031074D"/>
    <w:rsid w:val="003107CF"/>
    <w:rsid w:val="003110A0"/>
    <w:rsid w:val="00311BFE"/>
    <w:rsid w:val="0031258A"/>
    <w:rsid w:val="00320293"/>
    <w:rsid w:val="00320ED7"/>
    <w:rsid w:val="003216D1"/>
    <w:rsid w:val="00321F82"/>
    <w:rsid w:val="003237FC"/>
    <w:rsid w:val="00323945"/>
    <w:rsid w:val="00330049"/>
    <w:rsid w:val="0033471E"/>
    <w:rsid w:val="003349C0"/>
    <w:rsid w:val="003349F4"/>
    <w:rsid w:val="0033786C"/>
    <w:rsid w:val="00340C10"/>
    <w:rsid w:val="003415BF"/>
    <w:rsid w:val="00341911"/>
    <w:rsid w:val="00345EFE"/>
    <w:rsid w:val="00346FFB"/>
    <w:rsid w:val="0035612B"/>
    <w:rsid w:val="003628F5"/>
    <w:rsid w:val="00362E7C"/>
    <w:rsid w:val="003636AE"/>
    <w:rsid w:val="00363FCD"/>
    <w:rsid w:val="003649E2"/>
    <w:rsid w:val="00364E4F"/>
    <w:rsid w:val="00366D32"/>
    <w:rsid w:val="003743D3"/>
    <w:rsid w:val="003828DA"/>
    <w:rsid w:val="00390C7B"/>
    <w:rsid w:val="00392ABD"/>
    <w:rsid w:val="003949D9"/>
    <w:rsid w:val="00397AEA"/>
    <w:rsid w:val="003A2A93"/>
    <w:rsid w:val="003A2DD8"/>
    <w:rsid w:val="003A3BF8"/>
    <w:rsid w:val="003A3C2F"/>
    <w:rsid w:val="003A52B2"/>
    <w:rsid w:val="003A6E6D"/>
    <w:rsid w:val="003B2613"/>
    <w:rsid w:val="003B2968"/>
    <w:rsid w:val="003B473B"/>
    <w:rsid w:val="003B57EC"/>
    <w:rsid w:val="003C10AC"/>
    <w:rsid w:val="003C137E"/>
    <w:rsid w:val="003C2182"/>
    <w:rsid w:val="003D23CC"/>
    <w:rsid w:val="003D2930"/>
    <w:rsid w:val="003D2FA6"/>
    <w:rsid w:val="003E43A0"/>
    <w:rsid w:val="003E6F33"/>
    <w:rsid w:val="003F26FE"/>
    <w:rsid w:val="00400791"/>
    <w:rsid w:val="00407784"/>
    <w:rsid w:val="004110FC"/>
    <w:rsid w:val="0041211D"/>
    <w:rsid w:val="00416F72"/>
    <w:rsid w:val="00417C25"/>
    <w:rsid w:val="00417F93"/>
    <w:rsid w:val="00422DEC"/>
    <w:rsid w:val="0042593D"/>
    <w:rsid w:val="00427669"/>
    <w:rsid w:val="00430223"/>
    <w:rsid w:val="004361AE"/>
    <w:rsid w:val="004408C3"/>
    <w:rsid w:val="00441CD5"/>
    <w:rsid w:val="0044464E"/>
    <w:rsid w:val="00444C87"/>
    <w:rsid w:val="00457682"/>
    <w:rsid w:val="0046252C"/>
    <w:rsid w:val="00464860"/>
    <w:rsid w:val="00464FCA"/>
    <w:rsid w:val="00465FC2"/>
    <w:rsid w:val="00467F3F"/>
    <w:rsid w:val="00471130"/>
    <w:rsid w:val="00471FD7"/>
    <w:rsid w:val="0047253C"/>
    <w:rsid w:val="00473274"/>
    <w:rsid w:val="00475BC1"/>
    <w:rsid w:val="0047750E"/>
    <w:rsid w:val="00480AF6"/>
    <w:rsid w:val="00483B12"/>
    <w:rsid w:val="00485750"/>
    <w:rsid w:val="00485ED8"/>
    <w:rsid w:val="0049053F"/>
    <w:rsid w:val="0049534B"/>
    <w:rsid w:val="004A084F"/>
    <w:rsid w:val="004A1BCA"/>
    <w:rsid w:val="004A26D6"/>
    <w:rsid w:val="004A53C5"/>
    <w:rsid w:val="004A541E"/>
    <w:rsid w:val="004A701F"/>
    <w:rsid w:val="004B4693"/>
    <w:rsid w:val="004B4F5F"/>
    <w:rsid w:val="004B5656"/>
    <w:rsid w:val="004C5C17"/>
    <w:rsid w:val="004C6A70"/>
    <w:rsid w:val="004D1C26"/>
    <w:rsid w:val="004D58D5"/>
    <w:rsid w:val="004E0585"/>
    <w:rsid w:val="004E0B75"/>
    <w:rsid w:val="004E3456"/>
    <w:rsid w:val="004E53BB"/>
    <w:rsid w:val="004E6D46"/>
    <w:rsid w:val="004F33A6"/>
    <w:rsid w:val="004F3FF4"/>
    <w:rsid w:val="004F5763"/>
    <w:rsid w:val="00505977"/>
    <w:rsid w:val="00505FDE"/>
    <w:rsid w:val="005118B6"/>
    <w:rsid w:val="0051232C"/>
    <w:rsid w:val="00514367"/>
    <w:rsid w:val="00515314"/>
    <w:rsid w:val="005177E3"/>
    <w:rsid w:val="00520835"/>
    <w:rsid w:val="00523792"/>
    <w:rsid w:val="005261CE"/>
    <w:rsid w:val="005323C4"/>
    <w:rsid w:val="00532F00"/>
    <w:rsid w:val="005401F3"/>
    <w:rsid w:val="00540FDD"/>
    <w:rsid w:val="00541668"/>
    <w:rsid w:val="00545FB8"/>
    <w:rsid w:val="00546CC9"/>
    <w:rsid w:val="00550474"/>
    <w:rsid w:val="005550BB"/>
    <w:rsid w:val="005552AE"/>
    <w:rsid w:val="005558A6"/>
    <w:rsid w:val="00562013"/>
    <w:rsid w:val="00562699"/>
    <w:rsid w:val="00562824"/>
    <w:rsid w:val="005636D9"/>
    <w:rsid w:val="00566AEA"/>
    <w:rsid w:val="005707FD"/>
    <w:rsid w:val="0057215E"/>
    <w:rsid w:val="0057255E"/>
    <w:rsid w:val="00581E85"/>
    <w:rsid w:val="0058441C"/>
    <w:rsid w:val="00587510"/>
    <w:rsid w:val="00592E69"/>
    <w:rsid w:val="0059758F"/>
    <w:rsid w:val="00597A72"/>
    <w:rsid w:val="005A3EEC"/>
    <w:rsid w:val="005B103A"/>
    <w:rsid w:val="005B1376"/>
    <w:rsid w:val="005B22D4"/>
    <w:rsid w:val="005B3227"/>
    <w:rsid w:val="005B3BE6"/>
    <w:rsid w:val="005B6AAE"/>
    <w:rsid w:val="005C4565"/>
    <w:rsid w:val="005C531B"/>
    <w:rsid w:val="005C63E0"/>
    <w:rsid w:val="005C7395"/>
    <w:rsid w:val="005D0195"/>
    <w:rsid w:val="005D3160"/>
    <w:rsid w:val="005D3E26"/>
    <w:rsid w:val="005D438E"/>
    <w:rsid w:val="005D549D"/>
    <w:rsid w:val="005D56A3"/>
    <w:rsid w:val="005D7A64"/>
    <w:rsid w:val="005E0305"/>
    <w:rsid w:val="005E19B5"/>
    <w:rsid w:val="005E2AD8"/>
    <w:rsid w:val="005E2BFD"/>
    <w:rsid w:val="005E3C47"/>
    <w:rsid w:val="005E4B09"/>
    <w:rsid w:val="005E58D0"/>
    <w:rsid w:val="005E59EF"/>
    <w:rsid w:val="005E6518"/>
    <w:rsid w:val="005E6E7B"/>
    <w:rsid w:val="005F5F24"/>
    <w:rsid w:val="005F6709"/>
    <w:rsid w:val="00600D4B"/>
    <w:rsid w:val="00602E4A"/>
    <w:rsid w:val="00604A52"/>
    <w:rsid w:val="00607D63"/>
    <w:rsid w:val="00610412"/>
    <w:rsid w:val="00612F0D"/>
    <w:rsid w:val="00617606"/>
    <w:rsid w:val="00617E15"/>
    <w:rsid w:val="00622DF1"/>
    <w:rsid w:val="0062440D"/>
    <w:rsid w:val="0063256E"/>
    <w:rsid w:val="00632918"/>
    <w:rsid w:val="00632E16"/>
    <w:rsid w:val="0063511B"/>
    <w:rsid w:val="0064192F"/>
    <w:rsid w:val="00644F4C"/>
    <w:rsid w:val="0064751B"/>
    <w:rsid w:val="00647E35"/>
    <w:rsid w:val="0065382E"/>
    <w:rsid w:val="006544D1"/>
    <w:rsid w:val="00661205"/>
    <w:rsid w:val="006668DA"/>
    <w:rsid w:val="0067409B"/>
    <w:rsid w:val="006741A7"/>
    <w:rsid w:val="00681595"/>
    <w:rsid w:val="00681D9A"/>
    <w:rsid w:val="00683A18"/>
    <w:rsid w:val="00691102"/>
    <w:rsid w:val="006914EE"/>
    <w:rsid w:val="00691B7D"/>
    <w:rsid w:val="00692574"/>
    <w:rsid w:val="006939C6"/>
    <w:rsid w:val="006962A4"/>
    <w:rsid w:val="006A167C"/>
    <w:rsid w:val="006A2220"/>
    <w:rsid w:val="006A3AE8"/>
    <w:rsid w:val="006A42CA"/>
    <w:rsid w:val="006A56F5"/>
    <w:rsid w:val="006A77AA"/>
    <w:rsid w:val="006B11A0"/>
    <w:rsid w:val="006B164A"/>
    <w:rsid w:val="006B2274"/>
    <w:rsid w:val="006B2DCA"/>
    <w:rsid w:val="006B337D"/>
    <w:rsid w:val="006B4335"/>
    <w:rsid w:val="006B5E6E"/>
    <w:rsid w:val="006B6F27"/>
    <w:rsid w:val="006C0B81"/>
    <w:rsid w:val="006C3423"/>
    <w:rsid w:val="006C4BDE"/>
    <w:rsid w:val="006C56CF"/>
    <w:rsid w:val="006C6789"/>
    <w:rsid w:val="006D0E61"/>
    <w:rsid w:val="006D22B6"/>
    <w:rsid w:val="006D3B65"/>
    <w:rsid w:val="006D3D6F"/>
    <w:rsid w:val="006D4F65"/>
    <w:rsid w:val="006D5C72"/>
    <w:rsid w:val="006D7495"/>
    <w:rsid w:val="006D7AAA"/>
    <w:rsid w:val="006D7DD0"/>
    <w:rsid w:val="006E1E62"/>
    <w:rsid w:val="006E2CEF"/>
    <w:rsid w:val="006E57CD"/>
    <w:rsid w:val="006E6CA9"/>
    <w:rsid w:val="006F421E"/>
    <w:rsid w:val="006F5220"/>
    <w:rsid w:val="00705409"/>
    <w:rsid w:val="00706992"/>
    <w:rsid w:val="007079F1"/>
    <w:rsid w:val="00710031"/>
    <w:rsid w:val="00723D06"/>
    <w:rsid w:val="0072430C"/>
    <w:rsid w:val="007308E7"/>
    <w:rsid w:val="00733C4D"/>
    <w:rsid w:val="00740719"/>
    <w:rsid w:val="007422B4"/>
    <w:rsid w:val="0074501A"/>
    <w:rsid w:val="00745B0D"/>
    <w:rsid w:val="0074749B"/>
    <w:rsid w:val="00751105"/>
    <w:rsid w:val="0075295E"/>
    <w:rsid w:val="00752A69"/>
    <w:rsid w:val="0075758D"/>
    <w:rsid w:val="0076022C"/>
    <w:rsid w:val="007633C6"/>
    <w:rsid w:val="007668EF"/>
    <w:rsid w:val="00766D37"/>
    <w:rsid w:val="00767A09"/>
    <w:rsid w:val="00770BCC"/>
    <w:rsid w:val="0077156D"/>
    <w:rsid w:val="007725E6"/>
    <w:rsid w:val="00772915"/>
    <w:rsid w:val="00772AB6"/>
    <w:rsid w:val="00773722"/>
    <w:rsid w:val="00773F70"/>
    <w:rsid w:val="0077584B"/>
    <w:rsid w:val="00783FFD"/>
    <w:rsid w:val="00784B06"/>
    <w:rsid w:val="0078594F"/>
    <w:rsid w:val="007866CA"/>
    <w:rsid w:val="00787F2D"/>
    <w:rsid w:val="0079111A"/>
    <w:rsid w:val="007921CD"/>
    <w:rsid w:val="007936BD"/>
    <w:rsid w:val="00793A5C"/>
    <w:rsid w:val="00794FF7"/>
    <w:rsid w:val="00795642"/>
    <w:rsid w:val="007A1FA8"/>
    <w:rsid w:val="007A2924"/>
    <w:rsid w:val="007A2DB9"/>
    <w:rsid w:val="007A40E4"/>
    <w:rsid w:val="007A6707"/>
    <w:rsid w:val="007B0EC7"/>
    <w:rsid w:val="007B2771"/>
    <w:rsid w:val="007B52F7"/>
    <w:rsid w:val="007B5816"/>
    <w:rsid w:val="007C07BF"/>
    <w:rsid w:val="007C1DD1"/>
    <w:rsid w:val="007C4AFC"/>
    <w:rsid w:val="007C5FF6"/>
    <w:rsid w:val="007D0644"/>
    <w:rsid w:val="007D5BE3"/>
    <w:rsid w:val="007E01EE"/>
    <w:rsid w:val="007E268A"/>
    <w:rsid w:val="007E2986"/>
    <w:rsid w:val="007E3D97"/>
    <w:rsid w:val="007F209A"/>
    <w:rsid w:val="007F642B"/>
    <w:rsid w:val="007F68FE"/>
    <w:rsid w:val="007F76C5"/>
    <w:rsid w:val="00800F41"/>
    <w:rsid w:val="00803321"/>
    <w:rsid w:val="008040E6"/>
    <w:rsid w:val="00806B56"/>
    <w:rsid w:val="00811118"/>
    <w:rsid w:val="00812AEB"/>
    <w:rsid w:val="00817430"/>
    <w:rsid w:val="00820E96"/>
    <w:rsid w:val="00821A02"/>
    <w:rsid w:val="00822470"/>
    <w:rsid w:val="008228CE"/>
    <w:rsid w:val="00822A12"/>
    <w:rsid w:val="00825101"/>
    <w:rsid w:val="00826FED"/>
    <w:rsid w:val="00827119"/>
    <w:rsid w:val="008278FC"/>
    <w:rsid w:val="00827ABA"/>
    <w:rsid w:val="00833EAA"/>
    <w:rsid w:val="00836246"/>
    <w:rsid w:val="008368E3"/>
    <w:rsid w:val="00840BBE"/>
    <w:rsid w:val="00841AB7"/>
    <w:rsid w:val="008436C7"/>
    <w:rsid w:val="00844091"/>
    <w:rsid w:val="00844837"/>
    <w:rsid w:val="008450E1"/>
    <w:rsid w:val="008518E1"/>
    <w:rsid w:val="00854E76"/>
    <w:rsid w:val="00861C2C"/>
    <w:rsid w:val="00864CF4"/>
    <w:rsid w:val="00865434"/>
    <w:rsid w:val="00872760"/>
    <w:rsid w:val="00873D89"/>
    <w:rsid w:val="00875847"/>
    <w:rsid w:val="00886D80"/>
    <w:rsid w:val="00893698"/>
    <w:rsid w:val="00893C0F"/>
    <w:rsid w:val="00897274"/>
    <w:rsid w:val="008976AD"/>
    <w:rsid w:val="008A0948"/>
    <w:rsid w:val="008A0A7E"/>
    <w:rsid w:val="008A190A"/>
    <w:rsid w:val="008A1DC5"/>
    <w:rsid w:val="008A3FB0"/>
    <w:rsid w:val="008A4C6C"/>
    <w:rsid w:val="008B182A"/>
    <w:rsid w:val="008B2244"/>
    <w:rsid w:val="008B278B"/>
    <w:rsid w:val="008B5BDF"/>
    <w:rsid w:val="008B7265"/>
    <w:rsid w:val="008C1B7A"/>
    <w:rsid w:val="008C3638"/>
    <w:rsid w:val="008C5907"/>
    <w:rsid w:val="008C6418"/>
    <w:rsid w:val="008C693B"/>
    <w:rsid w:val="008C6E0A"/>
    <w:rsid w:val="008C7147"/>
    <w:rsid w:val="008D0715"/>
    <w:rsid w:val="008D0804"/>
    <w:rsid w:val="008D17C5"/>
    <w:rsid w:val="008D2C12"/>
    <w:rsid w:val="008D487A"/>
    <w:rsid w:val="008D4CD9"/>
    <w:rsid w:val="008D4EB1"/>
    <w:rsid w:val="008E57D4"/>
    <w:rsid w:val="008E665A"/>
    <w:rsid w:val="008F40B3"/>
    <w:rsid w:val="009001D3"/>
    <w:rsid w:val="009023C6"/>
    <w:rsid w:val="009069FD"/>
    <w:rsid w:val="009125CE"/>
    <w:rsid w:val="00915B37"/>
    <w:rsid w:val="00915D8B"/>
    <w:rsid w:val="00917D65"/>
    <w:rsid w:val="00917FE9"/>
    <w:rsid w:val="00920EAF"/>
    <w:rsid w:val="00925F96"/>
    <w:rsid w:val="00927672"/>
    <w:rsid w:val="0093130D"/>
    <w:rsid w:val="00931BF4"/>
    <w:rsid w:val="009324FD"/>
    <w:rsid w:val="00940AFC"/>
    <w:rsid w:val="00945675"/>
    <w:rsid w:val="00945B48"/>
    <w:rsid w:val="009473A2"/>
    <w:rsid w:val="0095017F"/>
    <w:rsid w:val="009529EA"/>
    <w:rsid w:val="00953F24"/>
    <w:rsid w:val="0095538F"/>
    <w:rsid w:val="009554A3"/>
    <w:rsid w:val="00960D5B"/>
    <w:rsid w:val="00963AA7"/>
    <w:rsid w:val="00964184"/>
    <w:rsid w:val="009646FA"/>
    <w:rsid w:val="009728D5"/>
    <w:rsid w:val="00976B84"/>
    <w:rsid w:val="00981649"/>
    <w:rsid w:val="009816CD"/>
    <w:rsid w:val="009827CF"/>
    <w:rsid w:val="009840AB"/>
    <w:rsid w:val="009912C3"/>
    <w:rsid w:val="00992A18"/>
    <w:rsid w:val="00993717"/>
    <w:rsid w:val="00993C9B"/>
    <w:rsid w:val="009A39BC"/>
    <w:rsid w:val="009B159C"/>
    <w:rsid w:val="009B1D56"/>
    <w:rsid w:val="009C1060"/>
    <w:rsid w:val="009C516F"/>
    <w:rsid w:val="009C7564"/>
    <w:rsid w:val="009D2871"/>
    <w:rsid w:val="009D4B95"/>
    <w:rsid w:val="009D615B"/>
    <w:rsid w:val="009E11D0"/>
    <w:rsid w:val="009E1BF4"/>
    <w:rsid w:val="009E26B2"/>
    <w:rsid w:val="009E2824"/>
    <w:rsid w:val="009E5D90"/>
    <w:rsid w:val="009E6B45"/>
    <w:rsid w:val="009F1D4F"/>
    <w:rsid w:val="009F1FF5"/>
    <w:rsid w:val="009F38C5"/>
    <w:rsid w:val="009F5625"/>
    <w:rsid w:val="009F5BD2"/>
    <w:rsid w:val="00A01FA6"/>
    <w:rsid w:val="00A020F5"/>
    <w:rsid w:val="00A04CD5"/>
    <w:rsid w:val="00A0520E"/>
    <w:rsid w:val="00A06F4C"/>
    <w:rsid w:val="00A07BE5"/>
    <w:rsid w:val="00A100ED"/>
    <w:rsid w:val="00A127B4"/>
    <w:rsid w:val="00A14552"/>
    <w:rsid w:val="00A1613F"/>
    <w:rsid w:val="00A16DCB"/>
    <w:rsid w:val="00A17A46"/>
    <w:rsid w:val="00A22C24"/>
    <w:rsid w:val="00A25F69"/>
    <w:rsid w:val="00A328DF"/>
    <w:rsid w:val="00A33018"/>
    <w:rsid w:val="00A36185"/>
    <w:rsid w:val="00A36874"/>
    <w:rsid w:val="00A37BBC"/>
    <w:rsid w:val="00A410C8"/>
    <w:rsid w:val="00A5039D"/>
    <w:rsid w:val="00A51CC2"/>
    <w:rsid w:val="00A53638"/>
    <w:rsid w:val="00A53A06"/>
    <w:rsid w:val="00A53B7D"/>
    <w:rsid w:val="00A556EE"/>
    <w:rsid w:val="00A55EBF"/>
    <w:rsid w:val="00A561B7"/>
    <w:rsid w:val="00A5670A"/>
    <w:rsid w:val="00A569E3"/>
    <w:rsid w:val="00A56E3C"/>
    <w:rsid w:val="00A601C0"/>
    <w:rsid w:val="00A63E64"/>
    <w:rsid w:val="00A64D05"/>
    <w:rsid w:val="00A66DCC"/>
    <w:rsid w:val="00A71182"/>
    <w:rsid w:val="00A715B4"/>
    <w:rsid w:val="00A71617"/>
    <w:rsid w:val="00A74809"/>
    <w:rsid w:val="00A8050E"/>
    <w:rsid w:val="00A808F3"/>
    <w:rsid w:val="00A81474"/>
    <w:rsid w:val="00A82292"/>
    <w:rsid w:val="00A832E5"/>
    <w:rsid w:val="00A83E72"/>
    <w:rsid w:val="00A90619"/>
    <w:rsid w:val="00A94D5E"/>
    <w:rsid w:val="00A95749"/>
    <w:rsid w:val="00A958CE"/>
    <w:rsid w:val="00AA13F2"/>
    <w:rsid w:val="00AA3632"/>
    <w:rsid w:val="00AA3BFB"/>
    <w:rsid w:val="00AA4A9D"/>
    <w:rsid w:val="00AA52CF"/>
    <w:rsid w:val="00AA54BD"/>
    <w:rsid w:val="00AA6993"/>
    <w:rsid w:val="00AB0162"/>
    <w:rsid w:val="00AB096F"/>
    <w:rsid w:val="00AB6BDF"/>
    <w:rsid w:val="00AB6D84"/>
    <w:rsid w:val="00AC4E9A"/>
    <w:rsid w:val="00AD1D85"/>
    <w:rsid w:val="00AD299A"/>
    <w:rsid w:val="00AD66C8"/>
    <w:rsid w:val="00AE0461"/>
    <w:rsid w:val="00AE3ADE"/>
    <w:rsid w:val="00AE52F5"/>
    <w:rsid w:val="00AE713A"/>
    <w:rsid w:val="00AE7B48"/>
    <w:rsid w:val="00AF4980"/>
    <w:rsid w:val="00AF5360"/>
    <w:rsid w:val="00AF6140"/>
    <w:rsid w:val="00B04074"/>
    <w:rsid w:val="00B1045C"/>
    <w:rsid w:val="00B11306"/>
    <w:rsid w:val="00B16797"/>
    <w:rsid w:val="00B16AA4"/>
    <w:rsid w:val="00B20597"/>
    <w:rsid w:val="00B208EC"/>
    <w:rsid w:val="00B20EE9"/>
    <w:rsid w:val="00B21384"/>
    <w:rsid w:val="00B26ADA"/>
    <w:rsid w:val="00B3219C"/>
    <w:rsid w:val="00B3278C"/>
    <w:rsid w:val="00B32A1E"/>
    <w:rsid w:val="00B40B64"/>
    <w:rsid w:val="00B416A6"/>
    <w:rsid w:val="00B42CB5"/>
    <w:rsid w:val="00B4349E"/>
    <w:rsid w:val="00B451CD"/>
    <w:rsid w:val="00B52340"/>
    <w:rsid w:val="00B5298F"/>
    <w:rsid w:val="00B5334F"/>
    <w:rsid w:val="00B54AF9"/>
    <w:rsid w:val="00B60695"/>
    <w:rsid w:val="00B622F5"/>
    <w:rsid w:val="00B634A3"/>
    <w:rsid w:val="00B6352C"/>
    <w:rsid w:val="00B65A74"/>
    <w:rsid w:val="00B67F2E"/>
    <w:rsid w:val="00B85CFC"/>
    <w:rsid w:val="00B86A11"/>
    <w:rsid w:val="00B91D65"/>
    <w:rsid w:val="00B939A2"/>
    <w:rsid w:val="00BA2DB9"/>
    <w:rsid w:val="00BA3CF8"/>
    <w:rsid w:val="00BA4C01"/>
    <w:rsid w:val="00BA51EE"/>
    <w:rsid w:val="00BA7B8B"/>
    <w:rsid w:val="00BA7D15"/>
    <w:rsid w:val="00BB22A9"/>
    <w:rsid w:val="00BB2379"/>
    <w:rsid w:val="00BB31B4"/>
    <w:rsid w:val="00BB6F8B"/>
    <w:rsid w:val="00BC15ED"/>
    <w:rsid w:val="00BC3995"/>
    <w:rsid w:val="00BC4A4F"/>
    <w:rsid w:val="00BC4B7D"/>
    <w:rsid w:val="00BC529E"/>
    <w:rsid w:val="00BC69C6"/>
    <w:rsid w:val="00BD13CC"/>
    <w:rsid w:val="00BD1B97"/>
    <w:rsid w:val="00BD428B"/>
    <w:rsid w:val="00BD4A8F"/>
    <w:rsid w:val="00BD552E"/>
    <w:rsid w:val="00BD56A5"/>
    <w:rsid w:val="00BD7801"/>
    <w:rsid w:val="00BE1ED1"/>
    <w:rsid w:val="00BE29E0"/>
    <w:rsid w:val="00BE3A96"/>
    <w:rsid w:val="00BF08E3"/>
    <w:rsid w:val="00BF10A2"/>
    <w:rsid w:val="00BF1701"/>
    <w:rsid w:val="00BF2333"/>
    <w:rsid w:val="00BF301A"/>
    <w:rsid w:val="00BF377C"/>
    <w:rsid w:val="00C01D65"/>
    <w:rsid w:val="00C04561"/>
    <w:rsid w:val="00C0494A"/>
    <w:rsid w:val="00C10B93"/>
    <w:rsid w:val="00C1461C"/>
    <w:rsid w:val="00C14E45"/>
    <w:rsid w:val="00C15BB3"/>
    <w:rsid w:val="00C15E05"/>
    <w:rsid w:val="00C177ED"/>
    <w:rsid w:val="00C216E2"/>
    <w:rsid w:val="00C239F9"/>
    <w:rsid w:val="00C23E8A"/>
    <w:rsid w:val="00C26EDC"/>
    <w:rsid w:val="00C31390"/>
    <w:rsid w:val="00C317FF"/>
    <w:rsid w:val="00C31F5A"/>
    <w:rsid w:val="00C343F8"/>
    <w:rsid w:val="00C3503E"/>
    <w:rsid w:val="00C357A2"/>
    <w:rsid w:val="00C377FB"/>
    <w:rsid w:val="00C41674"/>
    <w:rsid w:val="00C43C57"/>
    <w:rsid w:val="00C44EB1"/>
    <w:rsid w:val="00C50FD6"/>
    <w:rsid w:val="00C5124E"/>
    <w:rsid w:val="00C5248E"/>
    <w:rsid w:val="00C52A3D"/>
    <w:rsid w:val="00C53413"/>
    <w:rsid w:val="00C548DD"/>
    <w:rsid w:val="00C5599E"/>
    <w:rsid w:val="00C60D8D"/>
    <w:rsid w:val="00C62CB5"/>
    <w:rsid w:val="00C62E60"/>
    <w:rsid w:val="00C65FD0"/>
    <w:rsid w:val="00C72167"/>
    <w:rsid w:val="00C7311A"/>
    <w:rsid w:val="00C7525D"/>
    <w:rsid w:val="00C815C1"/>
    <w:rsid w:val="00C83454"/>
    <w:rsid w:val="00C875FB"/>
    <w:rsid w:val="00C87E03"/>
    <w:rsid w:val="00C9030D"/>
    <w:rsid w:val="00C91FC9"/>
    <w:rsid w:val="00C93999"/>
    <w:rsid w:val="00C94F4D"/>
    <w:rsid w:val="00C96CA0"/>
    <w:rsid w:val="00C972DA"/>
    <w:rsid w:val="00CA262E"/>
    <w:rsid w:val="00CA284E"/>
    <w:rsid w:val="00CA448F"/>
    <w:rsid w:val="00CA5BAE"/>
    <w:rsid w:val="00CA7838"/>
    <w:rsid w:val="00CA7F1F"/>
    <w:rsid w:val="00CB2A89"/>
    <w:rsid w:val="00CB3A6E"/>
    <w:rsid w:val="00CB4DAB"/>
    <w:rsid w:val="00CB6862"/>
    <w:rsid w:val="00CC58FE"/>
    <w:rsid w:val="00CC687E"/>
    <w:rsid w:val="00CC7D75"/>
    <w:rsid w:val="00CD1640"/>
    <w:rsid w:val="00CD2483"/>
    <w:rsid w:val="00CD5576"/>
    <w:rsid w:val="00CD59C4"/>
    <w:rsid w:val="00CD6EEE"/>
    <w:rsid w:val="00CD71A0"/>
    <w:rsid w:val="00CD77F4"/>
    <w:rsid w:val="00CE1E53"/>
    <w:rsid w:val="00CE2CE4"/>
    <w:rsid w:val="00CE3AEF"/>
    <w:rsid w:val="00CE42D9"/>
    <w:rsid w:val="00CF3BAC"/>
    <w:rsid w:val="00CF4841"/>
    <w:rsid w:val="00CF4A9B"/>
    <w:rsid w:val="00CF4DF2"/>
    <w:rsid w:val="00CF668E"/>
    <w:rsid w:val="00D01F5A"/>
    <w:rsid w:val="00D027B9"/>
    <w:rsid w:val="00D0620C"/>
    <w:rsid w:val="00D06C6E"/>
    <w:rsid w:val="00D07E44"/>
    <w:rsid w:val="00D20131"/>
    <w:rsid w:val="00D24443"/>
    <w:rsid w:val="00D24D67"/>
    <w:rsid w:val="00D252E3"/>
    <w:rsid w:val="00D26A0D"/>
    <w:rsid w:val="00D27173"/>
    <w:rsid w:val="00D273AB"/>
    <w:rsid w:val="00D31105"/>
    <w:rsid w:val="00D34F50"/>
    <w:rsid w:val="00D42663"/>
    <w:rsid w:val="00D43009"/>
    <w:rsid w:val="00D464A6"/>
    <w:rsid w:val="00D5065D"/>
    <w:rsid w:val="00D51CA9"/>
    <w:rsid w:val="00D53A46"/>
    <w:rsid w:val="00D57DB1"/>
    <w:rsid w:val="00D57DB5"/>
    <w:rsid w:val="00D57F6C"/>
    <w:rsid w:val="00D633AB"/>
    <w:rsid w:val="00D645EE"/>
    <w:rsid w:val="00D64F75"/>
    <w:rsid w:val="00D65915"/>
    <w:rsid w:val="00D67852"/>
    <w:rsid w:val="00D70BFC"/>
    <w:rsid w:val="00D719E5"/>
    <w:rsid w:val="00D72665"/>
    <w:rsid w:val="00D74C5C"/>
    <w:rsid w:val="00D807CE"/>
    <w:rsid w:val="00D816C1"/>
    <w:rsid w:val="00D82F39"/>
    <w:rsid w:val="00D84CBB"/>
    <w:rsid w:val="00D85017"/>
    <w:rsid w:val="00D876B8"/>
    <w:rsid w:val="00D90084"/>
    <w:rsid w:val="00D936AE"/>
    <w:rsid w:val="00D95550"/>
    <w:rsid w:val="00DA0AF8"/>
    <w:rsid w:val="00DA2F14"/>
    <w:rsid w:val="00DA3910"/>
    <w:rsid w:val="00DB190E"/>
    <w:rsid w:val="00DB3F5D"/>
    <w:rsid w:val="00DB450A"/>
    <w:rsid w:val="00DB48FD"/>
    <w:rsid w:val="00DB4AE8"/>
    <w:rsid w:val="00DB740D"/>
    <w:rsid w:val="00DC02CB"/>
    <w:rsid w:val="00DC02CC"/>
    <w:rsid w:val="00DC05A2"/>
    <w:rsid w:val="00DC4903"/>
    <w:rsid w:val="00DC5714"/>
    <w:rsid w:val="00DD482A"/>
    <w:rsid w:val="00DD7741"/>
    <w:rsid w:val="00DE0D4E"/>
    <w:rsid w:val="00DE0F1B"/>
    <w:rsid w:val="00DE135E"/>
    <w:rsid w:val="00DE47B6"/>
    <w:rsid w:val="00DE62EB"/>
    <w:rsid w:val="00DF03B9"/>
    <w:rsid w:val="00DF0B6E"/>
    <w:rsid w:val="00DF0E00"/>
    <w:rsid w:val="00DF2E13"/>
    <w:rsid w:val="00DF4D44"/>
    <w:rsid w:val="00DF7698"/>
    <w:rsid w:val="00E02642"/>
    <w:rsid w:val="00E05AA8"/>
    <w:rsid w:val="00E110A5"/>
    <w:rsid w:val="00E131EF"/>
    <w:rsid w:val="00E1330F"/>
    <w:rsid w:val="00E136C8"/>
    <w:rsid w:val="00E14681"/>
    <w:rsid w:val="00E151E1"/>
    <w:rsid w:val="00E152C8"/>
    <w:rsid w:val="00E15BF4"/>
    <w:rsid w:val="00E24933"/>
    <w:rsid w:val="00E256E3"/>
    <w:rsid w:val="00E25731"/>
    <w:rsid w:val="00E2575F"/>
    <w:rsid w:val="00E261AF"/>
    <w:rsid w:val="00E26680"/>
    <w:rsid w:val="00E274B0"/>
    <w:rsid w:val="00E27ABA"/>
    <w:rsid w:val="00E31045"/>
    <w:rsid w:val="00E32F12"/>
    <w:rsid w:val="00E33F93"/>
    <w:rsid w:val="00E40E3D"/>
    <w:rsid w:val="00E510E0"/>
    <w:rsid w:val="00E52CDA"/>
    <w:rsid w:val="00E535F6"/>
    <w:rsid w:val="00E54C07"/>
    <w:rsid w:val="00E55ED4"/>
    <w:rsid w:val="00E56B7D"/>
    <w:rsid w:val="00E628A5"/>
    <w:rsid w:val="00E64223"/>
    <w:rsid w:val="00E70A58"/>
    <w:rsid w:val="00E74793"/>
    <w:rsid w:val="00E77EFA"/>
    <w:rsid w:val="00E81F2B"/>
    <w:rsid w:val="00E82585"/>
    <w:rsid w:val="00E8462D"/>
    <w:rsid w:val="00E92BDE"/>
    <w:rsid w:val="00E959B6"/>
    <w:rsid w:val="00E95F34"/>
    <w:rsid w:val="00EA28C1"/>
    <w:rsid w:val="00EB0F5B"/>
    <w:rsid w:val="00EB19F4"/>
    <w:rsid w:val="00EB2B5E"/>
    <w:rsid w:val="00EB3B7A"/>
    <w:rsid w:val="00EB43F4"/>
    <w:rsid w:val="00EB4741"/>
    <w:rsid w:val="00EB4876"/>
    <w:rsid w:val="00EB4949"/>
    <w:rsid w:val="00EB53F2"/>
    <w:rsid w:val="00EB5513"/>
    <w:rsid w:val="00EC089D"/>
    <w:rsid w:val="00EC2535"/>
    <w:rsid w:val="00EC48D4"/>
    <w:rsid w:val="00EC65E8"/>
    <w:rsid w:val="00EC7253"/>
    <w:rsid w:val="00EC7ED4"/>
    <w:rsid w:val="00ED0B4B"/>
    <w:rsid w:val="00ED224E"/>
    <w:rsid w:val="00EE2C80"/>
    <w:rsid w:val="00EE43C5"/>
    <w:rsid w:val="00EE4611"/>
    <w:rsid w:val="00EE4922"/>
    <w:rsid w:val="00EE4A31"/>
    <w:rsid w:val="00EE55D1"/>
    <w:rsid w:val="00EE6972"/>
    <w:rsid w:val="00EF3052"/>
    <w:rsid w:val="00EF35B9"/>
    <w:rsid w:val="00EF714F"/>
    <w:rsid w:val="00F02F33"/>
    <w:rsid w:val="00F04B81"/>
    <w:rsid w:val="00F058B0"/>
    <w:rsid w:val="00F05FBB"/>
    <w:rsid w:val="00F06F40"/>
    <w:rsid w:val="00F13332"/>
    <w:rsid w:val="00F1346F"/>
    <w:rsid w:val="00F22F33"/>
    <w:rsid w:val="00F238F0"/>
    <w:rsid w:val="00F242A1"/>
    <w:rsid w:val="00F24E35"/>
    <w:rsid w:val="00F25E7A"/>
    <w:rsid w:val="00F31A07"/>
    <w:rsid w:val="00F3261E"/>
    <w:rsid w:val="00F36DA7"/>
    <w:rsid w:val="00F374D8"/>
    <w:rsid w:val="00F46D21"/>
    <w:rsid w:val="00F50265"/>
    <w:rsid w:val="00F53A42"/>
    <w:rsid w:val="00F54966"/>
    <w:rsid w:val="00F55523"/>
    <w:rsid w:val="00F56383"/>
    <w:rsid w:val="00F6173C"/>
    <w:rsid w:val="00F62EA7"/>
    <w:rsid w:val="00F70E42"/>
    <w:rsid w:val="00F74FA3"/>
    <w:rsid w:val="00F765A8"/>
    <w:rsid w:val="00F776F7"/>
    <w:rsid w:val="00F81FEB"/>
    <w:rsid w:val="00F82559"/>
    <w:rsid w:val="00F84F8A"/>
    <w:rsid w:val="00F851D0"/>
    <w:rsid w:val="00F87BC1"/>
    <w:rsid w:val="00F90B00"/>
    <w:rsid w:val="00F913D2"/>
    <w:rsid w:val="00F91FD2"/>
    <w:rsid w:val="00F92E84"/>
    <w:rsid w:val="00F93EBF"/>
    <w:rsid w:val="00FA78F7"/>
    <w:rsid w:val="00FB0EF8"/>
    <w:rsid w:val="00FB1315"/>
    <w:rsid w:val="00FB385B"/>
    <w:rsid w:val="00FB7AE5"/>
    <w:rsid w:val="00FC36CE"/>
    <w:rsid w:val="00FC41F1"/>
    <w:rsid w:val="00FC47E0"/>
    <w:rsid w:val="00FC691E"/>
    <w:rsid w:val="00FC7B0E"/>
    <w:rsid w:val="00FC7F57"/>
    <w:rsid w:val="00FD0350"/>
    <w:rsid w:val="00FD70C3"/>
    <w:rsid w:val="00FE4820"/>
    <w:rsid w:val="00FE551C"/>
    <w:rsid w:val="00FE7FF8"/>
    <w:rsid w:val="00FF1247"/>
    <w:rsid w:val="00FF1AAA"/>
    <w:rsid w:val="00FF3D1D"/>
    <w:rsid w:val="00FF45BA"/>
    <w:rsid w:val="00FF6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277EBC8"/>
  <w15:docId w15:val="{AE11FE2C-6045-49C0-9734-BA394A50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473B"/>
    <w:pPr>
      <w:spacing w:after="200" w:line="276" w:lineRule="auto"/>
    </w:pPr>
    <w:rPr>
      <w:rFonts w:cs="Calibri"/>
      <w:lang w:eastAsia="en-US"/>
    </w:rPr>
  </w:style>
  <w:style w:type="paragraph" w:styleId="Titolo1">
    <w:name w:val="heading 1"/>
    <w:basedOn w:val="Normale"/>
    <w:next w:val="Normale"/>
    <w:link w:val="Titolo1Carattere"/>
    <w:qFormat/>
    <w:locked/>
    <w:rsid w:val="00422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9646FA"/>
    <w:pPr>
      <w:keepNext/>
      <w:widowControl w:val="0"/>
      <w:adjustRightInd w:val="0"/>
      <w:spacing w:after="0" w:line="240" w:lineRule="atLeast"/>
      <w:jc w:val="both"/>
      <w:textAlignment w:val="baseline"/>
      <w:outlineLvl w:val="1"/>
    </w:pPr>
    <w:rPr>
      <w:rFonts w:ascii="Courier New" w:eastAsia="Times New Roman" w:hAnsi="Courier New" w:cs="Courier New"/>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9646FA"/>
    <w:rPr>
      <w:rFonts w:ascii="Courier New" w:hAnsi="Courier New" w:cs="Courier New"/>
      <w:b/>
      <w:bCs/>
      <w:sz w:val="20"/>
      <w:szCs w:val="20"/>
      <w:lang w:eastAsia="it-IT"/>
    </w:rPr>
  </w:style>
  <w:style w:type="paragraph" w:customStyle="1" w:styleId="provvr0">
    <w:name w:val="provv_r0"/>
    <w:basedOn w:val="Normale"/>
    <w:rsid w:val="003B473B"/>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DE0D4E"/>
    <w:pPr>
      <w:spacing w:after="0" w:line="240" w:lineRule="auto"/>
    </w:pPr>
    <w:rPr>
      <w:rFonts w:ascii="Arial" w:eastAsia="Times New Roman" w:hAnsi="Arial"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DE0D4E"/>
    <w:rPr>
      <w:rFonts w:ascii="Arial" w:hAnsi="Arial" w:cs="Arial"/>
      <w:sz w:val="20"/>
      <w:szCs w:val="20"/>
      <w:lang w:eastAsia="it-IT"/>
    </w:rPr>
  </w:style>
  <w:style w:type="character" w:styleId="Rimandonotaapidipagina">
    <w:name w:val="footnote reference"/>
    <w:basedOn w:val="Carpredefinitoparagrafo"/>
    <w:uiPriority w:val="99"/>
    <w:semiHidden/>
    <w:rsid w:val="00DE0D4E"/>
    <w:rPr>
      <w:vertAlign w:val="superscript"/>
    </w:rPr>
  </w:style>
  <w:style w:type="paragraph" w:styleId="Paragrafoelenco">
    <w:name w:val="List Paragraph"/>
    <w:basedOn w:val="Normale"/>
    <w:uiPriority w:val="1"/>
    <w:qFormat/>
    <w:rsid w:val="00A410C8"/>
    <w:pPr>
      <w:ind w:left="720"/>
    </w:pPr>
  </w:style>
  <w:style w:type="paragraph" w:customStyle="1" w:styleId="p3">
    <w:name w:val="p3"/>
    <w:basedOn w:val="Normale"/>
    <w:uiPriority w:val="99"/>
    <w:rsid w:val="009646FA"/>
    <w:pPr>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2C0FF1"/>
    <w:rPr>
      <w:color w:val="0000FF"/>
      <w:u w:val="single"/>
    </w:rPr>
  </w:style>
  <w:style w:type="paragraph" w:styleId="NormaleWeb">
    <w:name w:val="Normal (Web)"/>
    <w:basedOn w:val="Normale"/>
    <w:uiPriority w:val="99"/>
    <w:semiHidden/>
    <w:rsid w:val="00AE52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AE52F5"/>
    <w:rPr>
      <w:b/>
      <w:bCs/>
    </w:rPr>
  </w:style>
  <w:style w:type="paragraph" w:styleId="Intestazione">
    <w:name w:val="header"/>
    <w:basedOn w:val="Normale"/>
    <w:link w:val="IntestazioneCarattere"/>
    <w:uiPriority w:val="99"/>
    <w:rsid w:val="00BA2D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A2DB9"/>
    <w:rPr>
      <w:rFonts w:ascii="Calibri" w:hAnsi="Calibri" w:cs="Calibri"/>
    </w:rPr>
  </w:style>
  <w:style w:type="paragraph" w:styleId="Pidipagina">
    <w:name w:val="footer"/>
    <w:basedOn w:val="Normale"/>
    <w:link w:val="PidipaginaCarattere"/>
    <w:uiPriority w:val="99"/>
    <w:rsid w:val="00BA2D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A2DB9"/>
    <w:rPr>
      <w:rFonts w:ascii="Calibri" w:hAnsi="Calibri" w:cs="Calibri"/>
    </w:rPr>
  </w:style>
  <w:style w:type="paragraph" w:customStyle="1" w:styleId="Style49">
    <w:name w:val="Style49"/>
    <w:basedOn w:val="Normale"/>
    <w:uiPriority w:val="99"/>
    <w:rsid w:val="00D74C5C"/>
    <w:pPr>
      <w:widowControl w:val="0"/>
      <w:autoSpaceDE w:val="0"/>
      <w:autoSpaceDN w:val="0"/>
      <w:adjustRightInd w:val="0"/>
      <w:spacing w:after="0" w:line="470" w:lineRule="exact"/>
      <w:jc w:val="both"/>
    </w:pPr>
    <w:rPr>
      <w:rFonts w:ascii="Garamond" w:eastAsiaTheme="minorEastAsia" w:hAnsi="Garamond" w:cstheme="minorBidi"/>
      <w:sz w:val="24"/>
      <w:szCs w:val="24"/>
      <w:lang w:eastAsia="it-IT"/>
    </w:rPr>
  </w:style>
  <w:style w:type="character" w:customStyle="1" w:styleId="FontStyle101">
    <w:name w:val="Font Style101"/>
    <w:basedOn w:val="Carpredefinitoparagrafo"/>
    <w:uiPriority w:val="99"/>
    <w:rsid w:val="00D74C5C"/>
    <w:rPr>
      <w:rFonts w:ascii="Garamond" w:hAnsi="Garamond" w:cs="Garamond"/>
      <w:color w:val="000000"/>
      <w:sz w:val="26"/>
      <w:szCs w:val="26"/>
    </w:rPr>
  </w:style>
  <w:style w:type="character" w:customStyle="1" w:styleId="FontStyle55">
    <w:name w:val="Font Style55"/>
    <w:basedOn w:val="Carpredefinitoparagrafo"/>
    <w:uiPriority w:val="99"/>
    <w:rsid w:val="008B7265"/>
    <w:rPr>
      <w:rFonts w:ascii="Times New Roman" w:hAnsi="Times New Roman" w:cs="Times New Roman"/>
      <w:color w:val="000000"/>
      <w:sz w:val="24"/>
      <w:szCs w:val="24"/>
    </w:rPr>
  </w:style>
  <w:style w:type="paragraph" w:customStyle="1" w:styleId="Style27">
    <w:name w:val="Style27"/>
    <w:basedOn w:val="Normale"/>
    <w:uiPriority w:val="99"/>
    <w:rsid w:val="008B7265"/>
    <w:pPr>
      <w:widowControl w:val="0"/>
      <w:autoSpaceDE w:val="0"/>
      <w:autoSpaceDN w:val="0"/>
      <w:adjustRightInd w:val="0"/>
      <w:spacing w:after="0" w:line="360" w:lineRule="exact"/>
      <w:ind w:firstLine="365"/>
      <w:jc w:val="both"/>
    </w:pPr>
    <w:rPr>
      <w:rFonts w:ascii="Times New Roman" w:eastAsiaTheme="minorEastAsia" w:hAnsi="Times New Roman" w:cs="Times New Roman"/>
      <w:sz w:val="24"/>
      <w:szCs w:val="24"/>
      <w:lang w:eastAsia="it-IT"/>
    </w:rPr>
  </w:style>
  <w:style w:type="paragraph" w:customStyle="1" w:styleId="Style33">
    <w:name w:val="Style33"/>
    <w:basedOn w:val="Normale"/>
    <w:uiPriority w:val="99"/>
    <w:rsid w:val="00A5039D"/>
    <w:pPr>
      <w:widowControl w:val="0"/>
      <w:autoSpaceDE w:val="0"/>
      <w:autoSpaceDN w:val="0"/>
      <w:adjustRightInd w:val="0"/>
      <w:spacing w:after="0" w:line="365" w:lineRule="exact"/>
    </w:pPr>
    <w:rPr>
      <w:rFonts w:ascii="Times New Roman" w:eastAsiaTheme="minorEastAsia" w:hAnsi="Times New Roman" w:cs="Times New Roman"/>
      <w:sz w:val="24"/>
      <w:szCs w:val="24"/>
      <w:lang w:eastAsia="it-IT"/>
    </w:rPr>
  </w:style>
  <w:style w:type="character" w:customStyle="1" w:styleId="FontStyle56">
    <w:name w:val="Font Style56"/>
    <w:basedOn w:val="Carpredefinitoparagrafo"/>
    <w:uiPriority w:val="99"/>
    <w:rsid w:val="0057215E"/>
    <w:rPr>
      <w:rFonts w:ascii="Times New Roman" w:hAnsi="Times New Roman" w:cs="Times New Roman"/>
      <w:i/>
      <w:iCs/>
      <w:color w:val="000000"/>
      <w:sz w:val="24"/>
      <w:szCs w:val="24"/>
    </w:rPr>
  </w:style>
  <w:style w:type="paragraph" w:customStyle="1" w:styleId="Style6">
    <w:name w:val="Style6"/>
    <w:basedOn w:val="Normale"/>
    <w:uiPriority w:val="99"/>
    <w:rsid w:val="000344CD"/>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it-IT"/>
    </w:rPr>
  </w:style>
  <w:style w:type="paragraph" w:customStyle="1" w:styleId="Style17">
    <w:name w:val="Style17"/>
    <w:basedOn w:val="Normale"/>
    <w:uiPriority w:val="99"/>
    <w:rsid w:val="000344C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it-IT"/>
    </w:rPr>
  </w:style>
  <w:style w:type="paragraph" w:customStyle="1" w:styleId="Style35">
    <w:name w:val="Style35"/>
    <w:basedOn w:val="Normale"/>
    <w:uiPriority w:val="99"/>
    <w:rsid w:val="000344CD"/>
    <w:pPr>
      <w:widowControl w:val="0"/>
      <w:autoSpaceDE w:val="0"/>
      <w:autoSpaceDN w:val="0"/>
      <w:adjustRightInd w:val="0"/>
      <w:spacing w:after="0" w:line="360" w:lineRule="exact"/>
      <w:jc w:val="both"/>
    </w:pPr>
    <w:rPr>
      <w:rFonts w:ascii="Times New Roman" w:eastAsiaTheme="minorEastAsia" w:hAnsi="Times New Roman" w:cs="Times New Roman"/>
      <w:sz w:val="24"/>
      <w:szCs w:val="24"/>
      <w:lang w:eastAsia="it-IT"/>
    </w:rPr>
  </w:style>
  <w:style w:type="paragraph" w:styleId="Corpotesto">
    <w:name w:val="Body Text"/>
    <w:basedOn w:val="Normale"/>
    <w:link w:val="CorpotestoCarattere"/>
    <w:rsid w:val="00A14552"/>
    <w:pPr>
      <w:spacing w:after="0" w:line="240" w:lineRule="auto"/>
      <w:jc w:val="center"/>
    </w:pPr>
    <w:rPr>
      <w:rFonts w:ascii="Arial" w:eastAsia="Times New Roman" w:hAnsi="Arial" w:cs="Arial"/>
      <w:szCs w:val="24"/>
      <w:lang w:eastAsia="it-IT"/>
    </w:rPr>
  </w:style>
  <w:style w:type="character" w:customStyle="1" w:styleId="CorpotestoCarattere">
    <w:name w:val="Corpo testo Carattere"/>
    <w:basedOn w:val="Carpredefinitoparagrafo"/>
    <w:link w:val="Corpotesto"/>
    <w:rsid w:val="00A14552"/>
    <w:rPr>
      <w:rFonts w:ascii="Arial" w:eastAsia="Times New Roman" w:hAnsi="Arial" w:cs="Arial"/>
      <w:szCs w:val="24"/>
    </w:rPr>
  </w:style>
  <w:style w:type="character" w:customStyle="1" w:styleId="FontStyle49">
    <w:name w:val="Font Style49"/>
    <w:basedOn w:val="Carpredefinitoparagrafo"/>
    <w:uiPriority w:val="99"/>
    <w:rsid w:val="00020340"/>
    <w:rPr>
      <w:rFonts w:ascii="Garamond" w:hAnsi="Garamond" w:cs="Garamond"/>
      <w:color w:val="000000"/>
      <w:sz w:val="22"/>
      <w:szCs w:val="22"/>
    </w:rPr>
  </w:style>
  <w:style w:type="paragraph" w:customStyle="1" w:styleId="Default">
    <w:name w:val="Default"/>
    <w:rsid w:val="002048EA"/>
    <w:pPr>
      <w:autoSpaceDE w:val="0"/>
      <w:autoSpaceDN w:val="0"/>
      <w:adjustRightInd w:val="0"/>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3B26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613"/>
    <w:rPr>
      <w:rFonts w:ascii="Segoe UI" w:hAnsi="Segoe UI" w:cs="Segoe UI"/>
      <w:sz w:val="18"/>
      <w:szCs w:val="18"/>
      <w:lang w:eastAsia="en-US"/>
    </w:rPr>
  </w:style>
  <w:style w:type="table" w:styleId="Grigliatabella">
    <w:name w:val="Table Grid"/>
    <w:basedOn w:val="Tabellanormale"/>
    <w:locked/>
    <w:rsid w:val="00A5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F242A1"/>
    <w:pPr>
      <w:spacing w:after="0" w:line="240" w:lineRule="auto"/>
      <w:jc w:val="center"/>
    </w:pPr>
    <w:rPr>
      <w:rFonts w:ascii="Arial" w:eastAsia="Times New Roman" w:hAnsi="Arial" w:cs="Arial"/>
      <w:szCs w:val="24"/>
      <w:lang w:eastAsia="it-IT"/>
    </w:rPr>
  </w:style>
  <w:style w:type="paragraph" w:customStyle="1" w:styleId="TitoloB">
    <w:name w:val="Titolo B"/>
    <w:basedOn w:val="Normale"/>
    <w:uiPriority w:val="99"/>
    <w:rsid w:val="00F242A1"/>
    <w:pPr>
      <w:spacing w:after="120" w:line="360" w:lineRule="auto"/>
      <w:ind w:right="567"/>
    </w:pPr>
    <w:rPr>
      <w:rFonts w:ascii="Arial" w:eastAsia="Times New Roman" w:hAnsi="Arial" w:cs="Arial"/>
      <w:b/>
      <w:bCs/>
      <w:lang w:eastAsia="it-IT"/>
    </w:rPr>
  </w:style>
  <w:style w:type="paragraph" w:customStyle="1" w:styleId="TitoloC">
    <w:name w:val="Titolo C"/>
    <w:basedOn w:val="Corpotesto"/>
    <w:uiPriority w:val="99"/>
    <w:rsid w:val="005E4B09"/>
    <w:pPr>
      <w:spacing w:after="120" w:line="360" w:lineRule="auto"/>
      <w:jc w:val="both"/>
    </w:pPr>
    <w:rPr>
      <w:rFonts w:cs="Times New Roman"/>
      <w:szCs w:val="22"/>
      <w:u w:val="single"/>
    </w:rPr>
  </w:style>
  <w:style w:type="character" w:customStyle="1" w:styleId="provvnumcomma">
    <w:name w:val="provv_numcomma"/>
    <w:basedOn w:val="Carpredefinitoparagrafo"/>
    <w:rsid w:val="006D22B6"/>
  </w:style>
  <w:style w:type="character" w:customStyle="1" w:styleId="Titolo1Carattere">
    <w:name w:val="Titolo 1 Carattere"/>
    <w:basedOn w:val="Carpredefinitoparagrafo"/>
    <w:link w:val="Titolo1"/>
    <w:rsid w:val="00422DEC"/>
    <w:rPr>
      <w:rFonts w:asciiTheme="majorHAnsi" w:eastAsiaTheme="majorEastAsia" w:hAnsiTheme="majorHAnsi" w:cstheme="majorBidi"/>
      <w:color w:val="365F91" w:themeColor="accent1" w:themeShade="BF"/>
      <w:sz w:val="32"/>
      <w:szCs w:val="32"/>
      <w:lang w:eastAsia="en-US"/>
    </w:rPr>
  </w:style>
  <w:style w:type="paragraph" w:styleId="Titolosommario">
    <w:name w:val="TOC Heading"/>
    <w:basedOn w:val="Titolo1"/>
    <w:next w:val="Normale"/>
    <w:uiPriority w:val="39"/>
    <w:unhideWhenUsed/>
    <w:qFormat/>
    <w:rsid w:val="00422DEC"/>
    <w:pPr>
      <w:spacing w:line="259" w:lineRule="auto"/>
      <w:outlineLvl w:val="9"/>
    </w:pPr>
    <w:rPr>
      <w:lang w:eastAsia="it-IT"/>
    </w:rPr>
  </w:style>
  <w:style w:type="paragraph" w:styleId="Sommario2">
    <w:name w:val="toc 2"/>
    <w:basedOn w:val="Normale"/>
    <w:next w:val="Normale"/>
    <w:autoRedefine/>
    <w:uiPriority w:val="39"/>
    <w:locked/>
    <w:rsid w:val="00422DEC"/>
    <w:pPr>
      <w:spacing w:after="100"/>
      <w:ind w:left="220"/>
    </w:pPr>
  </w:style>
  <w:style w:type="character" w:styleId="Enfasicorsivo">
    <w:name w:val="Emphasis"/>
    <w:basedOn w:val="Carpredefinitoparagrafo"/>
    <w:uiPriority w:val="20"/>
    <w:qFormat/>
    <w:locked/>
    <w:rsid w:val="000202CA"/>
    <w:rPr>
      <w:i/>
      <w:iCs/>
    </w:rPr>
  </w:style>
  <w:style w:type="paragraph" w:customStyle="1" w:styleId="Paragrafoelenco1">
    <w:name w:val="Paragrafo elenco1"/>
    <w:basedOn w:val="Normale"/>
    <w:uiPriority w:val="34"/>
    <w:qFormat/>
    <w:rsid w:val="000C365E"/>
    <w:pPr>
      <w:spacing w:after="160" w:line="256" w:lineRule="auto"/>
      <w:ind w:left="720"/>
      <w:contextualSpacing/>
    </w:pPr>
    <w:rPr>
      <w:rFonts w:eastAsia="Times New Roman" w:cs="Times New Roman"/>
      <w:lang w:eastAsia="it-IT"/>
    </w:rPr>
  </w:style>
  <w:style w:type="paragraph" w:customStyle="1" w:styleId="Paragrafoelenco2">
    <w:name w:val="Paragrafo elenco2"/>
    <w:basedOn w:val="Normale"/>
    <w:uiPriority w:val="34"/>
    <w:qFormat/>
    <w:rsid w:val="007A6707"/>
    <w:pPr>
      <w:spacing w:after="160" w:line="259" w:lineRule="auto"/>
      <w:ind w:left="720"/>
      <w:contextualSpacing/>
    </w:pPr>
    <w:rPr>
      <w:rFonts w:eastAsia="Times New Roman" w:cs="Times New Roman"/>
      <w:lang w:eastAsia="it-IT"/>
    </w:rPr>
  </w:style>
  <w:style w:type="paragraph" w:styleId="Sommario1">
    <w:name w:val="toc 1"/>
    <w:basedOn w:val="Normale"/>
    <w:next w:val="Normale"/>
    <w:autoRedefine/>
    <w:uiPriority w:val="39"/>
    <w:unhideWhenUsed/>
    <w:locked/>
    <w:rsid w:val="00EB19F4"/>
    <w:pPr>
      <w:spacing w:after="100" w:line="259" w:lineRule="auto"/>
    </w:pPr>
    <w:rPr>
      <w:rFonts w:asciiTheme="minorHAnsi" w:eastAsiaTheme="minorEastAsia" w:hAnsiTheme="minorHAnsi" w:cs="Times New Roman"/>
      <w:lang w:eastAsia="it-IT"/>
    </w:rPr>
  </w:style>
  <w:style w:type="paragraph" w:styleId="Sommario3">
    <w:name w:val="toc 3"/>
    <w:basedOn w:val="Normale"/>
    <w:next w:val="Normale"/>
    <w:autoRedefine/>
    <w:uiPriority w:val="39"/>
    <w:unhideWhenUsed/>
    <w:locked/>
    <w:rsid w:val="00EB19F4"/>
    <w:pPr>
      <w:spacing w:after="100" w:line="259" w:lineRule="auto"/>
      <w:ind w:left="440"/>
    </w:pPr>
    <w:rPr>
      <w:rFonts w:asciiTheme="minorHAnsi" w:eastAsiaTheme="minorEastAsia" w:hAnsiTheme="minorHAns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4253">
      <w:bodyDiv w:val="1"/>
      <w:marLeft w:val="0"/>
      <w:marRight w:val="0"/>
      <w:marTop w:val="0"/>
      <w:marBottom w:val="0"/>
      <w:divBdr>
        <w:top w:val="none" w:sz="0" w:space="0" w:color="auto"/>
        <w:left w:val="none" w:sz="0" w:space="0" w:color="auto"/>
        <w:bottom w:val="none" w:sz="0" w:space="0" w:color="auto"/>
        <w:right w:val="none" w:sz="0" w:space="0" w:color="auto"/>
      </w:divBdr>
    </w:div>
    <w:div w:id="160511604">
      <w:bodyDiv w:val="1"/>
      <w:marLeft w:val="0"/>
      <w:marRight w:val="0"/>
      <w:marTop w:val="0"/>
      <w:marBottom w:val="0"/>
      <w:divBdr>
        <w:top w:val="none" w:sz="0" w:space="0" w:color="auto"/>
        <w:left w:val="none" w:sz="0" w:space="0" w:color="auto"/>
        <w:bottom w:val="none" w:sz="0" w:space="0" w:color="auto"/>
        <w:right w:val="none" w:sz="0" w:space="0" w:color="auto"/>
      </w:divBdr>
    </w:div>
    <w:div w:id="628820939">
      <w:bodyDiv w:val="1"/>
      <w:marLeft w:val="0"/>
      <w:marRight w:val="0"/>
      <w:marTop w:val="0"/>
      <w:marBottom w:val="0"/>
      <w:divBdr>
        <w:top w:val="none" w:sz="0" w:space="0" w:color="auto"/>
        <w:left w:val="none" w:sz="0" w:space="0" w:color="auto"/>
        <w:bottom w:val="none" w:sz="0" w:space="0" w:color="auto"/>
        <w:right w:val="none" w:sz="0" w:space="0" w:color="auto"/>
      </w:divBdr>
    </w:div>
    <w:div w:id="830289034">
      <w:marLeft w:val="0"/>
      <w:marRight w:val="0"/>
      <w:marTop w:val="0"/>
      <w:marBottom w:val="0"/>
      <w:divBdr>
        <w:top w:val="none" w:sz="0" w:space="0" w:color="auto"/>
        <w:left w:val="none" w:sz="0" w:space="0" w:color="auto"/>
        <w:bottom w:val="none" w:sz="0" w:space="0" w:color="auto"/>
        <w:right w:val="none" w:sz="0" w:space="0" w:color="auto"/>
      </w:divBdr>
      <w:divsChild>
        <w:div w:id="830289036">
          <w:marLeft w:val="0"/>
          <w:marRight w:val="0"/>
          <w:marTop w:val="0"/>
          <w:marBottom w:val="0"/>
          <w:divBdr>
            <w:top w:val="none" w:sz="0" w:space="0" w:color="auto"/>
            <w:left w:val="none" w:sz="0" w:space="0" w:color="auto"/>
            <w:bottom w:val="none" w:sz="0" w:space="0" w:color="auto"/>
            <w:right w:val="none" w:sz="0" w:space="0" w:color="auto"/>
          </w:divBdr>
          <w:divsChild>
            <w:div w:id="830289033">
              <w:marLeft w:val="0"/>
              <w:marRight w:val="0"/>
              <w:marTop w:val="0"/>
              <w:marBottom w:val="0"/>
              <w:divBdr>
                <w:top w:val="none" w:sz="0" w:space="0" w:color="auto"/>
                <w:left w:val="none" w:sz="0" w:space="0" w:color="auto"/>
                <w:bottom w:val="none" w:sz="0" w:space="0" w:color="auto"/>
                <w:right w:val="none" w:sz="0" w:space="0" w:color="auto"/>
              </w:divBdr>
              <w:divsChild>
                <w:div w:id="830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7328">
      <w:bodyDiv w:val="1"/>
      <w:marLeft w:val="0"/>
      <w:marRight w:val="0"/>
      <w:marTop w:val="0"/>
      <w:marBottom w:val="0"/>
      <w:divBdr>
        <w:top w:val="none" w:sz="0" w:space="0" w:color="auto"/>
        <w:left w:val="none" w:sz="0" w:space="0" w:color="auto"/>
        <w:bottom w:val="none" w:sz="0" w:space="0" w:color="auto"/>
        <w:right w:val="none" w:sz="0" w:space="0" w:color="auto"/>
      </w:divBdr>
    </w:div>
    <w:div w:id="1484547668">
      <w:bodyDiv w:val="1"/>
      <w:marLeft w:val="0"/>
      <w:marRight w:val="0"/>
      <w:marTop w:val="0"/>
      <w:marBottom w:val="0"/>
      <w:divBdr>
        <w:top w:val="none" w:sz="0" w:space="0" w:color="auto"/>
        <w:left w:val="none" w:sz="0" w:space="0" w:color="auto"/>
        <w:bottom w:val="none" w:sz="0" w:space="0" w:color="auto"/>
        <w:right w:val="none" w:sz="0" w:space="0" w:color="auto"/>
      </w:divBdr>
    </w:div>
    <w:div w:id="165514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0C6E-3B94-4AD0-81A6-F29EE26C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6046</Words>
  <Characters>37729</Characters>
  <Application>Microsoft Office Word</Application>
  <DocSecurity>0</DocSecurity>
  <Lines>314</Lines>
  <Paragraphs>87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Office365_1</cp:lastModifiedBy>
  <cp:revision>2</cp:revision>
  <dcterms:created xsi:type="dcterms:W3CDTF">2020-12-10T11:58:00Z</dcterms:created>
  <dcterms:modified xsi:type="dcterms:W3CDTF">2024-01-25T09:05:00Z</dcterms:modified>
  <cp:category/>
</cp:coreProperties>
</file>